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B4D44" w14:textId="77777777" w:rsidR="001B25E3" w:rsidRDefault="001B25E3" w:rsidP="0086611A">
      <w:pPr>
        <w:autoSpaceDE w:val="0"/>
        <w:autoSpaceDN w:val="0"/>
        <w:adjustRightInd w:val="0"/>
        <w:jc w:val="center"/>
        <w:rPr>
          <w:b/>
          <w:bCs/>
          <w:color w:val="231F20"/>
        </w:rPr>
      </w:pPr>
      <w:r>
        <w:rPr>
          <w:b/>
          <w:bCs/>
          <w:color w:val="231F20"/>
        </w:rPr>
        <w:t>SOAH DOCKET NO. 473-22-04394</w:t>
      </w:r>
    </w:p>
    <w:p w14:paraId="3E9FF767" w14:textId="77777777" w:rsidR="001B25E3" w:rsidRDefault="001B25E3" w:rsidP="0086611A">
      <w:pPr>
        <w:autoSpaceDE w:val="0"/>
        <w:autoSpaceDN w:val="0"/>
        <w:adjustRightInd w:val="0"/>
        <w:jc w:val="center"/>
        <w:rPr>
          <w:b/>
          <w:bCs/>
          <w:color w:val="231F20"/>
        </w:rPr>
      </w:pPr>
      <w:r>
        <w:rPr>
          <w:b/>
          <w:bCs/>
          <w:color w:val="231F20"/>
        </w:rPr>
        <w:t>PUC DOCKET NO. 53719</w:t>
      </w:r>
    </w:p>
    <w:p w14:paraId="19E3121F" w14:textId="77777777" w:rsidR="001B25E3" w:rsidRDefault="001B25E3" w:rsidP="0086611A">
      <w:pPr>
        <w:autoSpaceDE w:val="0"/>
        <w:autoSpaceDN w:val="0"/>
        <w:adjustRightInd w:val="0"/>
        <w:rPr>
          <w:b/>
          <w:bCs/>
          <w:color w:val="231F20"/>
        </w:rPr>
      </w:pPr>
    </w:p>
    <w:tbl>
      <w:tblPr>
        <w:tblW w:w="9450" w:type="dxa"/>
        <w:tblLayout w:type="fixed"/>
        <w:tblLook w:val="0000" w:firstRow="0" w:lastRow="0" w:firstColumn="0" w:lastColumn="0" w:noHBand="0" w:noVBand="0"/>
      </w:tblPr>
      <w:tblGrid>
        <w:gridCol w:w="4140"/>
        <w:gridCol w:w="1301"/>
        <w:gridCol w:w="4009"/>
      </w:tblGrid>
      <w:tr w:rsidR="001B25E3" w14:paraId="5C1D09E6" w14:textId="77777777" w:rsidTr="00B6211A">
        <w:trPr>
          <w:trHeight w:val="882"/>
        </w:trPr>
        <w:tc>
          <w:tcPr>
            <w:tcW w:w="4140" w:type="dxa"/>
          </w:tcPr>
          <w:p w14:paraId="373AF1B9" w14:textId="705C41B7" w:rsidR="001B25E3" w:rsidRDefault="001B25E3" w:rsidP="0086611A">
            <w:pPr>
              <w:rPr>
                <w:b/>
                <w:bCs/>
                <w:color w:val="231F20"/>
              </w:rPr>
            </w:pPr>
            <w:r>
              <w:rPr>
                <w:b/>
                <w:bCs/>
                <w:color w:val="231F20"/>
              </w:rPr>
              <w:t xml:space="preserve">APPLICATION </w:t>
            </w:r>
            <w:r w:rsidR="00B6211A">
              <w:rPr>
                <w:b/>
                <w:bCs/>
                <w:color w:val="231F20"/>
              </w:rPr>
              <w:t>O</w:t>
            </w:r>
            <w:r>
              <w:rPr>
                <w:b/>
                <w:bCs/>
                <w:color w:val="231F20"/>
              </w:rPr>
              <w:t>F ENTERGY</w:t>
            </w:r>
            <w:r>
              <w:rPr>
                <w:b/>
                <w:bCs/>
              </w:rPr>
              <w:t xml:space="preserve"> </w:t>
            </w:r>
            <w:r>
              <w:rPr>
                <w:b/>
                <w:bCs/>
                <w:color w:val="231F20"/>
              </w:rPr>
              <w:t>TEXAS, INC. FOR AUTHORITY TO</w:t>
            </w:r>
            <w:r>
              <w:rPr>
                <w:b/>
                <w:bCs/>
              </w:rPr>
              <w:t xml:space="preserve"> </w:t>
            </w:r>
            <w:r>
              <w:rPr>
                <w:b/>
                <w:bCs/>
                <w:color w:val="231F20"/>
              </w:rPr>
              <w:t>CHANGE RATES</w:t>
            </w:r>
            <w:r>
              <w:rPr>
                <w:b/>
                <w:bCs/>
              </w:rPr>
              <w:t xml:space="preserve"> </w:t>
            </w:r>
          </w:p>
        </w:tc>
        <w:tc>
          <w:tcPr>
            <w:tcW w:w="1301" w:type="dxa"/>
          </w:tcPr>
          <w:p w14:paraId="6B582477" w14:textId="77777777" w:rsidR="001B25E3" w:rsidRDefault="001B25E3" w:rsidP="0086611A">
            <w:pPr>
              <w:jc w:val="center"/>
              <w:rPr>
                <w:b/>
                <w:bCs/>
              </w:rPr>
            </w:pPr>
            <w:r>
              <w:rPr>
                <w:b/>
                <w:bCs/>
              </w:rPr>
              <w:t>§</w:t>
            </w:r>
          </w:p>
          <w:p w14:paraId="2F7BD667" w14:textId="77777777" w:rsidR="001B25E3" w:rsidRDefault="001B25E3" w:rsidP="0086611A">
            <w:pPr>
              <w:jc w:val="center"/>
              <w:rPr>
                <w:b/>
                <w:bCs/>
              </w:rPr>
            </w:pPr>
            <w:r>
              <w:rPr>
                <w:b/>
                <w:bCs/>
              </w:rPr>
              <w:t>§</w:t>
            </w:r>
          </w:p>
          <w:p w14:paraId="3CDCF9EC" w14:textId="453EC241" w:rsidR="0021431C" w:rsidRDefault="001B25E3" w:rsidP="00B52029">
            <w:pPr>
              <w:jc w:val="center"/>
              <w:rPr>
                <w:b/>
                <w:bCs/>
              </w:rPr>
            </w:pPr>
            <w:r>
              <w:rPr>
                <w:b/>
                <w:bCs/>
              </w:rPr>
              <w:t>§</w:t>
            </w:r>
          </w:p>
        </w:tc>
        <w:tc>
          <w:tcPr>
            <w:tcW w:w="4009" w:type="dxa"/>
          </w:tcPr>
          <w:p w14:paraId="046C97AC" w14:textId="77777777" w:rsidR="001B25E3" w:rsidRDefault="001B25E3" w:rsidP="0086611A">
            <w:pPr>
              <w:jc w:val="center"/>
              <w:rPr>
                <w:b/>
                <w:bCs/>
              </w:rPr>
            </w:pPr>
            <w:r>
              <w:rPr>
                <w:b/>
                <w:bCs/>
              </w:rPr>
              <w:t>STATE OFFICE</w:t>
            </w:r>
          </w:p>
          <w:p w14:paraId="55035928" w14:textId="77777777" w:rsidR="001B25E3" w:rsidRDefault="001B25E3" w:rsidP="0086611A">
            <w:pPr>
              <w:jc w:val="center"/>
              <w:rPr>
                <w:b/>
                <w:bCs/>
              </w:rPr>
            </w:pPr>
            <w:r>
              <w:rPr>
                <w:b/>
                <w:bCs/>
              </w:rPr>
              <w:t>OF</w:t>
            </w:r>
          </w:p>
          <w:p w14:paraId="7C802BCB" w14:textId="77777777" w:rsidR="001B25E3" w:rsidRDefault="001B25E3" w:rsidP="0086611A">
            <w:pPr>
              <w:jc w:val="center"/>
              <w:rPr>
                <w:b/>
                <w:bCs/>
              </w:rPr>
            </w:pPr>
            <w:r>
              <w:rPr>
                <w:b/>
                <w:bCs/>
              </w:rPr>
              <w:t>ADMINISTRATIVE HEARINGS</w:t>
            </w:r>
          </w:p>
        </w:tc>
      </w:tr>
    </w:tbl>
    <w:p w14:paraId="3CE04FB4" w14:textId="77777777" w:rsidR="00B52029" w:rsidRDefault="00B52029" w:rsidP="00B52029">
      <w:pPr>
        <w:autoSpaceDE w:val="0"/>
        <w:autoSpaceDN w:val="0"/>
        <w:adjustRightInd w:val="0"/>
        <w:jc w:val="center"/>
        <w:rPr>
          <w:b/>
          <w:bCs/>
          <w:color w:val="231F20"/>
          <w:u w:val="single"/>
        </w:rPr>
      </w:pPr>
    </w:p>
    <w:p w14:paraId="7C2DA211" w14:textId="51978544" w:rsidR="001B25E3" w:rsidRPr="00D17505" w:rsidRDefault="001F0CC1" w:rsidP="00F54B81">
      <w:pPr>
        <w:autoSpaceDE w:val="0"/>
        <w:autoSpaceDN w:val="0"/>
        <w:adjustRightInd w:val="0"/>
        <w:spacing w:after="240"/>
        <w:jc w:val="center"/>
        <w:rPr>
          <w:b/>
          <w:bCs/>
          <w:color w:val="231F20"/>
          <w:u w:val="single"/>
        </w:rPr>
      </w:pPr>
      <w:r>
        <w:rPr>
          <w:b/>
          <w:bCs/>
          <w:color w:val="231F20"/>
          <w:u w:val="single"/>
        </w:rPr>
        <w:t>PROPOSED ORDER</w:t>
      </w:r>
    </w:p>
    <w:p w14:paraId="2A984981" w14:textId="39F4DD5A" w:rsidR="001F0CC1" w:rsidRDefault="001F0CC1" w:rsidP="00F54B81">
      <w:pPr>
        <w:pStyle w:val="BodyText"/>
        <w:spacing w:before="69" w:line="360" w:lineRule="auto"/>
        <w:ind w:left="0" w:firstLine="720"/>
        <w:jc w:val="both"/>
      </w:pPr>
      <w:r>
        <w:t>This</w:t>
      </w:r>
      <w:r>
        <w:rPr>
          <w:spacing w:val="2"/>
        </w:rPr>
        <w:t xml:space="preserve"> </w:t>
      </w:r>
      <w:r>
        <w:rPr>
          <w:spacing w:val="-1"/>
        </w:rPr>
        <w:t>Order</w:t>
      </w:r>
      <w:r>
        <w:rPr>
          <w:spacing w:val="2"/>
        </w:rPr>
        <w:t xml:space="preserve"> </w:t>
      </w:r>
      <w:r>
        <w:rPr>
          <w:spacing w:val="-1"/>
        </w:rPr>
        <w:t>addresses</w:t>
      </w:r>
      <w:r>
        <w:t xml:space="preserve"> the</w:t>
      </w:r>
      <w:r>
        <w:rPr>
          <w:spacing w:val="1"/>
        </w:rPr>
        <w:t xml:space="preserve"> </w:t>
      </w:r>
      <w:r>
        <w:rPr>
          <w:spacing w:val="-1"/>
        </w:rPr>
        <w:t>application</w:t>
      </w:r>
      <w:r>
        <w:t xml:space="preserve"> of</w:t>
      </w:r>
      <w:r>
        <w:rPr>
          <w:spacing w:val="2"/>
        </w:rPr>
        <w:t xml:space="preserve"> </w:t>
      </w:r>
      <w:r>
        <w:rPr>
          <w:spacing w:val="-1"/>
        </w:rPr>
        <w:t>Entergy</w:t>
      </w:r>
      <w:r>
        <w:t xml:space="preserve"> Texas,</w:t>
      </w:r>
      <w:r>
        <w:rPr>
          <w:spacing w:val="2"/>
        </w:rPr>
        <w:t xml:space="preserve"> </w:t>
      </w:r>
      <w:r>
        <w:t xml:space="preserve">Inc. </w:t>
      </w:r>
      <w:r>
        <w:rPr>
          <w:spacing w:val="-1"/>
        </w:rPr>
        <w:t>(ETI)</w:t>
      </w:r>
      <w:r>
        <w:rPr>
          <w:spacing w:val="2"/>
        </w:rPr>
        <w:t xml:space="preserve"> </w:t>
      </w:r>
      <w:r>
        <w:t>for</w:t>
      </w:r>
      <w:r>
        <w:rPr>
          <w:spacing w:val="2"/>
        </w:rPr>
        <w:t xml:space="preserve"> </w:t>
      </w:r>
      <w:r>
        <w:t>authority to</w:t>
      </w:r>
      <w:r>
        <w:rPr>
          <w:spacing w:val="2"/>
        </w:rPr>
        <w:t xml:space="preserve"> </w:t>
      </w:r>
      <w:r>
        <w:t>change</w:t>
      </w:r>
      <w:r>
        <w:rPr>
          <w:spacing w:val="61"/>
        </w:rPr>
        <w:t xml:space="preserve"> </w:t>
      </w:r>
      <w:r>
        <w:t>rates.</w:t>
      </w:r>
      <w:r>
        <w:rPr>
          <w:spacing w:val="21"/>
        </w:rPr>
        <w:t xml:space="preserve"> </w:t>
      </w:r>
      <w:r>
        <w:rPr>
          <w:spacing w:val="-1"/>
        </w:rPr>
        <w:t>An</w:t>
      </w:r>
      <w:r>
        <w:rPr>
          <w:spacing w:val="39"/>
        </w:rPr>
        <w:t xml:space="preserve"> </w:t>
      </w:r>
      <w:r>
        <w:t>Unopposed</w:t>
      </w:r>
      <w:r>
        <w:rPr>
          <w:spacing w:val="41"/>
        </w:rPr>
        <w:t xml:space="preserve"> </w:t>
      </w:r>
      <w:r>
        <w:rPr>
          <w:spacing w:val="-1"/>
        </w:rPr>
        <w:t>Stipulation</w:t>
      </w:r>
      <w:r>
        <w:rPr>
          <w:spacing w:val="39"/>
        </w:rPr>
        <w:t xml:space="preserve"> </w:t>
      </w:r>
      <w:r>
        <w:t>and</w:t>
      </w:r>
      <w:r>
        <w:rPr>
          <w:spacing w:val="41"/>
        </w:rPr>
        <w:t xml:space="preserve"> </w:t>
      </w:r>
      <w:r>
        <w:t>Settlement</w:t>
      </w:r>
      <w:r>
        <w:rPr>
          <w:spacing w:val="41"/>
        </w:rPr>
        <w:t xml:space="preserve"> </w:t>
      </w:r>
      <w:r>
        <w:rPr>
          <w:spacing w:val="-1"/>
        </w:rPr>
        <w:t>Agreement</w:t>
      </w:r>
      <w:r>
        <w:rPr>
          <w:spacing w:val="41"/>
        </w:rPr>
        <w:t xml:space="preserve"> </w:t>
      </w:r>
      <w:r>
        <w:rPr>
          <w:spacing w:val="-1"/>
        </w:rPr>
        <w:t>(Stipulation)</w:t>
      </w:r>
      <w:r>
        <w:rPr>
          <w:spacing w:val="40"/>
        </w:rPr>
        <w:t xml:space="preserve"> </w:t>
      </w:r>
      <w:r>
        <w:rPr>
          <w:spacing w:val="-1"/>
        </w:rPr>
        <w:t>was</w:t>
      </w:r>
      <w:r>
        <w:rPr>
          <w:spacing w:val="40"/>
        </w:rPr>
        <w:t xml:space="preserve"> </w:t>
      </w:r>
      <w:r>
        <w:t>executed</w:t>
      </w:r>
      <w:r>
        <w:rPr>
          <w:spacing w:val="39"/>
        </w:rPr>
        <w:t xml:space="preserve"> </w:t>
      </w:r>
      <w:r>
        <w:t>that</w:t>
      </w:r>
      <w:r>
        <w:rPr>
          <w:spacing w:val="57"/>
        </w:rPr>
        <w:t xml:space="preserve"> </w:t>
      </w:r>
      <w:r>
        <w:t>resolves</w:t>
      </w:r>
      <w:r>
        <w:rPr>
          <w:spacing w:val="37"/>
        </w:rPr>
        <w:t xml:space="preserve"> </w:t>
      </w:r>
      <w:r>
        <w:t>all</w:t>
      </w:r>
      <w:r>
        <w:rPr>
          <w:spacing w:val="37"/>
        </w:rPr>
        <w:t xml:space="preserve"> </w:t>
      </w:r>
      <w:r>
        <w:t>issues</w:t>
      </w:r>
      <w:r>
        <w:rPr>
          <w:spacing w:val="37"/>
        </w:rPr>
        <w:t xml:space="preserve"> </w:t>
      </w:r>
      <w:r>
        <w:t>in</w:t>
      </w:r>
      <w:r>
        <w:rPr>
          <w:spacing w:val="36"/>
        </w:rPr>
        <w:t xml:space="preserve"> </w:t>
      </w:r>
      <w:r>
        <w:t>this</w:t>
      </w:r>
      <w:r>
        <w:rPr>
          <w:spacing w:val="37"/>
        </w:rPr>
        <w:t xml:space="preserve"> </w:t>
      </w:r>
      <w:r>
        <w:rPr>
          <w:spacing w:val="-1"/>
        </w:rPr>
        <w:t>proceeding</w:t>
      </w:r>
      <w:r w:rsidR="00E12DAA">
        <w:rPr>
          <w:spacing w:val="-1"/>
        </w:rPr>
        <w:t xml:space="preserve"> except for Issues No. 68 and 69 from the Preliminary Order related to transportation electrification charging infrastructure</w:t>
      </w:r>
      <w:r>
        <w:rPr>
          <w:spacing w:val="-1"/>
        </w:rPr>
        <w:t>.</w:t>
      </w:r>
      <w:r>
        <w:rPr>
          <w:spacing w:val="14"/>
        </w:rPr>
        <w:t xml:space="preserve"> </w:t>
      </w:r>
      <w:r w:rsidR="00043733">
        <w:rPr>
          <w:spacing w:val="-1"/>
        </w:rPr>
        <w:t>ETI’s application</w:t>
      </w:r>
      <w:r w:rsidR="00CA2AF6">
        <w:rPr>
          <w:spacing w:val="-1"/>
        </w:rPr>
        <w:t>,</w:t>
      </w:r>
      <w:r w:rsidR="00043733">
        <w:rPr>
          <w:spacing w:val="-1"/>
        </w:rPr>
        <w:t xml:space="preserve"> </w:t>
      </w:r>
      <w:r w:rsidR="00927EB7">
        <w:rPr>
          <w:spacing w:val="-1"/>
        </w:rPr>
        <w:t>a</w:t>
      </w:r>
      <w:r>
        <w:rPr>
          <w:spacing w:val="-1"/>
        </w:rPr>
        <w:t>s</w:t>
      </w:r>
      <w:r>
        <w:rPr>
          <w:spacing w:val="38"/>
        </w:rPr>
        <w:t xml:space="preserve"> </w:t>
      </w:r>
      <w:r>
        <w:rPr>
          <w:spacing w:val="-1"/>
        </w:rPr>
        <w:t>modified</w:t>
      </w:r>
      <w:r>
        <w:rPr>
          <w:spacing w:val="37"/>
        </w:rPr>
        <w:t xml:space="preserve"> </w:t>
      </w:r>
      <w:r>
        <w:t>by</w:t>
      </w:r>
      <w:r>
        <w:rPr>
          <w:spacing w:val="37"/>
        </w:rPr>
        <w:t xml:space="preserve"> </w:t>
      </w:r>
      <w:r>
        <w:t>the</w:t>
      </w:r>
      <w:r>
        <w:rPr>
          <w:spacing w:val="37"/>
        </w:rPr>
        <w:t xml:space="preserve"> </w:t>
      </w:r>
      <w:r>
        <w:t>Stipulation</w:t>
      </w:r>
      <w:r w:rsidR="00CA2AF6">
        <w:t>,</w:t>
      </w:r>
      <w:r w:rsidR="00870F53">
        <w:t xml:space="preserve"> is approved to the extent</w:t>
      </w:r>
      <w:r w:rsidR="00043733">
        <w:t xml:space="preserve"> provided in</w:t>
      </w:r>
      <w:r>
        <w:rPr>
          <w:spacing w:val="37"/>
        </w:rPr>
        <w:t xml:space="preserve"> </w:t>
      </w:r>
      <w:r>
        <w:t>this</w:t>
      </w:r>
      <w:r>
        <w:rPr>
          <w:spacing w:val="37"/>
        </w:rPr>
        <w:t xml:space="preserve"> </w:t>
      </w:r>
      <w:r>
        <w:rPr>
          <w:spacing w:val="-1"/>
        </w:rPr>
        <w:t>Order</w:t>
      </w:r>
      <w:r>
        <w:t>.</w:t>
      </w:r>
    </w:p>
    <w:p w14:paraId="2F48A22C" w14:textId="74F8C9F9" w:rsidR="001F0CC1" w:rsidRDefault="001F0CC1" w:rsidP="0086611A">
      <w:pPr>
        <w:pStyle w:val="BodyText"/>
        <w:spacing w:line="360" w:lineRule="auto"/>
        <w:ind w:left="0" w:firstLine="720"/>
        <w:jc w:val="both"/>
      </w:pPr>
      <w:r>
        <w:t>The</w:t>
      </w:r>
      <w:r>
        <w:rPr>
          <w:spacing w:val="9"/>
        </w:rPr>
        <w:t xml:space="preserve"> </w:t>
      </w:r>
      <w:r>
        <w:t>Public</w:t>
      </w:r>
      <w:r>
        <w:rPr>
          <w:spacing w:val="8"/>
        </w:rPr>
        <w:t xml:space="preserve"> </w:t>
      </w:r>
      <w:r>
        <w:rPr>
          <w:spacing w:val="-1"/>
        </w:rPr>
        <w:t>Utility</w:t>
      </w:r>
      <w:r>
        <w:rPr>
          <w:spacing w:val="9"/>
        </w:rPr>
        <w:t xml:space="preserve"> </w:t>
      </w:r>
      <w:r>
        <w:rPr>
          <w:spacing w:val="-1"/>
        </w:rPr>
        <w:t>Commission</w:t>
      </w:r>
      <w:r>
        <w:rPr>
          <w:spacing w:val="9"/>
        </w:rPr>
        <w:t xml:space="preserve"> </w:t>
      </w:r>
      <w:r>
        <w:t>of</w:t>
      </w:r>
      <w:r>
        <w:rPr>
          <w:spacing w:val="10"/>
        </w:rPr>
        <w:t xml:space="preserve"> </w:t>
      </w:r>
      <w:r>
        <w:rPr>
          <w:spacing w:val="-1"/>
        </w:rPr>
        <w:t>Texas</w:t>
      </w:r>
      <w:r>
        <w:rPr>
          <w:spacing w:val="9"/>
        </w:rPr>
        <w:t xml:space="preserve"> </w:t>
      </w:r>
      <w:r>
        <w:rPr>
          <w:spacing w:val="-1"/>
        </w:rPr>
        <w:t>(Commission)</w:t>
      </w:r>
      <w:r>
        <w:rPr>
          <w:spacing w:val="9"/>
        </w:rPr>
        <w:t xml:space="preserve"> </w:t>
      </w:r>
      <w:r>
        <w:t>adopts</w:t>
      </w:r>
      <w:r>
        <w:rPr>
          <w:spacing w:val="9"/>
        </w:rPr>
        <w:t xml:space="preserve"> </w:t>
      </w:r>
      <w:r>
        <w:t>the</w:t>
      </w:r>
      <w:r>
        <w:rPr>
          <w:spacing w:val="9"/>
        </w:rPr>
        <w:t xml:space="preserve"> </w:t>
      </w:r>
      <w:r>
        <w:t>following</w:t>
      </w:r>
      <w:r>
        <w:rPr>
          <w:spacing w:val="9"/>
        </w:rPr>
        <w:t xml:space="preserve"> </w:t>
      </w:r>
      <w:r>
        <w:t>findings</w:t>
      </w:r>
      <w:r>
        <w:rPr>
          <w:spacing w:val="9"/>
        </w:rPr>
        <w:t xml:space="preserve"> </w:t>
      </w:r>
      <w:r>
        <w:t>of</w:t>
      </w:r>
      <w:r>
        <w:rPr>
          <w:spacing w:val="55"/>
        </w:rPr>
        <w:t xml:space="preserve"> </w:t>
      </w:r>
      <w:r>
        <w:t>fact and conclusions of law.</w:t>
      </w:r>
    </w:p>
    <w:p w14:paraId="07694208" w14:textId="77777777" w:rsidR="00B52029" w:rsidRDefault="00B52029" w:rsidP="00B52029">
      <w:pPr>
        <w:pStyle w:val="BodyText"/>
        <w:spacing w:before="0"/>
        <w:ind w:left="0" w:firstLine="720"/>
        <w:jc w:val="both"/>
      </w:pPr>
    </w:p>
    <w:p w14:paraId="0D95C097" w14:textId="77777777" w:rsidR="000D1A7A" w:rsidRDefault="000D1A7A" w:rsidP="00B52029">
      <w:pPr>
        <w:pStyle w:val="Heading1"/>
        <w:spacing w:after="0"/>
        <w:rPr>
          <w:rFonts w:eastAsia="Times New Roman"/>
        </w:rPr>
      </w:pPr>
      <w:r>
        <w:t>Findings of Fact</w:t>
      </w:r>
    </w:p>
    <w:p w14:paraId="450A1AED" w14:textId="4CCE6177" w:rsidR="000D1A7A" w:rsidRPr="0065105F" w:rsidRDefault="00A85CCD" w:rsidP="0086611A">
      <w:pPr>
        <w:pStyle w:val="Heading2"/>
        <w:spacing w:before="189"/>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Applicant</w:t>
      </w:r>
    </w:p>
    <w:p w14:paraId="49D9969C" w14:textId="77777777" w:rsidR="00A94C9D" w:rsidRDefault="00123209" w:rsidP="002F0762">
      <w:pPr>
        <w:pStyle w:val="BodyText"/>
        <w:numPr>
          <w:ilvl w:val="0"/>
          <w:numId w:val="8"/>
        </w:numPr>
        <w:tabs>
          <w:tab w:val="left" w:pos="820"/>
        </w:tabs>
        <w:spacing w:before="135" w:line="360" w:lineRule="auto"/>
        <w:ind w:left="540" w:hanging="540"/>
        <w:jc w:val="both"/>
      </w:pPr>
      <w:r>
        <w:t>ETI generates, transmits, distributes, and sells electricity through facilities and equipment that it owns and operates in Texas under CCN number 30076.</w:t>
      </w:r>
    </w:p>
    <w:p w14:paraId="3860AAFE" w14:textId="3A437B2F" w:rsidR="000D1A7A" w:rsidRDefault="000D1A7A" w:rsidP="002F0762">
      <w:pPr>
        <w:pStyle w:val="BodyText"/>
        <w:numPr>
          <w:ilvl w:val="0"/>
          <w:numId w:val="8"/>
        </w:numPr>
        <w:tabs>
          <w:tab w:val="left" w:pos="820"/>
        </w:tabs>
        <w:spacing w:before="135" w:line="360" w:lineRule="auto"/>
        <w:ind w:left="540" w:hanging="540"/>
        <w:jc w:val="both"/>
      </w:pPr>
      <w:r>
        <w:t>On</w:t>
      </w:r>
      <w:r w:rsidRPr="00A94C9D">
        <w:rPr>
          <w:spacing w:val="43"/>
        </w:rPr>
        <w:t xml:space="preserve"> </w:t>
      </w:r>
      <w:r w:rsidR="008F5C53">
        <w:t>July 1, 2022</w:t>
      </w:r>
      <w:r>
        <w:t>,</w:t>
      </w:r>
      <w:r w:rsidRPr="00A94C9D">
        <w:rPr>
          <w:spacing w:val="43"/>
        </w:rPr>
        <w:t xml:space="preserve"> </w:t>
      </w:r>
      <w:r>
        <w:t>ETI</w:t>
      </w:r>
      <w:r w:rsidRPr="00A94C9D">
        <w:rPr>
          <w:spacing w:val="43"/>
        </w:rPr>
        <w:t xml:space="preserve"> </w:t>
      </w:r>
      <w:r w:rsidRPr="00A94C9D">
        <w:rPr>
          <w:spacing w:val="-1"/>
        </w:rPr>
        <w:t>filed</w:t>
      </w:r>
      <w:r w:rsidRPr="00A94C9D">
        <w:rPr>
          <w:spacing w:val="43"/>
        </w:rPr>
        <w:t xml:space="preserve"> </w:t>
      </w:r>
      <w:r>
        <w:t>an</w:t>
      </w:r>
      <w:r w:rsidRPr="00A94C9D">
        <w:rPr>
          <w:spacing w:val="43"/>
        </w:rPr>
        <w:t xml:space="preserve"> </w:t>
      </w:r>
      <w:r>
        <w:t>application</w:t>
      </w:r>
      <w:r w:rsidRPr="00A94C9D">
        <w:rPr>
          <w:spacing w:val="42"/>
        </w:rPr>
        <w:t xml:space="preserve"> </w:t>
      </w:r>
      <w:r>
        <w:t>requesting</w:t>
      </w:r>
      <w:r w:rsidRPr="00A94C9D">
        <w:rPr>
          <w:spacing w:val="43"/>
        </w:rPr>
        <w:t xml:space="preserve"> </w:t>
      </w:r>
      <w:r>
        <w:t>authority</w:t>
      </w:r>
      <w:r w:rsidRPr="00A94C9D">
        <w:rPr>
          <w:spacing w:val="41"/>
        </w:rPr>
        <w:t xml:space="preserve"> </w:t>
      </w:r>
      <w:r>
        <w:t>to</w:t>
      </w:r>
      <w:r w:rsidRPr="00A94C9D">
        <w:rPr>
          <w:spacing w:val="43"/>
        </w:rPr>
        <w:t xml:space="preserve"> </w:t>
      </w:r>
      <w:r w:rsidRPr="00A94C9D">
        <w:rPr>
          <w:spacing w:val="-1"/>
        </w:rPr>
        <w:t>change</w:t>
      </w:r>
      <w:r w:rsidRPr="00A94C9D">
        <w:rPr>
          <w:spacing w:val="43"/>
        </w:rPr>
        <w:t xml:space="preserve"> </w:t>
      </w:r>
      <w:r w:rsidRPr="00A94C9D">
        <w:rPr>
          <w:spacing w:val="-1"/>
        </w:rPr>
        <w:t>rates</w:t>
      </w:r>
      <w:r w:rsidRPr="00A94C9D">
        <w:rPr>
          <w:spacing w:val="43"/>
        </w:rPr>
        <w:t xml:space="preserve"> </w:t>
      </w:r>
      <w:r w:rsidRPr="00A94C9D">
        <w:rPr>
          <w:spacing w:val="-1"/>
        </w:rPr>
        <w:t>(the</w:t>
      </w:r>
      <w:r w:rsidRPr="00A94C9D">
        <w:rPr>
          <w:spacing w:val="31"/>
        </w:rPr>
        <w:t xml:space="preserve"> </w:t>
      </w:r>
      <w:r w:rsidR="00E12DAA" w:rsidRPr="00A94C9D">
        <w:rPr>
          <w:spacing w:val="-1"/>
        </w:rPr>
        <w:t>Application</w:t>
      </w:r>
      <w:r w:rsidRPr="00A94C9D">
        <w:rPr>
          <w:spacing w:val="-1"/>
        </w:rPr>
        <w:t>).</w:t>
      </w:r>
      <w:r w:rsidRPr="00A94C9D">
        <w:rPr>
          <w:spacing w:val="38"/>
        </w:rPr>
        <w:t xml:space="preserve"> </w:t>
      </w:r>
      <w:r w:rsidRPr="00A94C9D">
        <w:rPr>
          <w:spacing w:val="-1"/>
        </w:rPr>
        <w:t>The</w:t>
      </w:r>
      <w:r w:rsidRPr="00A94C9D">
        <w:rPr>
          <w:spacing w:val="19"/>
        </w:rPr>
        <w:t xml:space="preserve"> </w:t>
      </w:r>
      <w:r w:rsidRPr="00A94C9D">
        <w:rPr>
          <w:spacing w:val="-1"/>
        </w:rPr>
        <w:t>Application</w:t>
      </w:r>
      <w:r w:rsidRPr="00A94C9D">
        <w:rPr>
          <w:spacing w:val="17"/>
        </w:rPr>
        <w:t xml:space="preserve"> </w:t>
      </w:r>
      <w:r w:rsidRPr="00A94C9D">
        <w:rPr>
          <w:spacing w:val="-1"/>
        </w:rPr>
        <w:t>included</w:t>
      </w:r>
      <w:r w:rsidRPr="00A94C9D">
        <w:rPr>
          <w:spacing w:val="19"/>
        </w:rPr>
        <w:t xml:space="preserve"> </w:t>
      </w:r>
      <w:r w:rsidRPr="00A94C9D">
        <w:rPr>
          <w:spacing w:val="-1"/>
        </w:rPr>
        <w:t>the</w:t>
      </w:r>
      <w:r w:rsidRPr="00A94C9D">
        <w:rPr>
          <w:spacing w:val="19"/>
        </w:rPr>
        <w:t xml:space="preserve"> </w:t>
      </w:r>
      <w:r w:rsidRPr="00A94C9D">
        <w:rPr>
          <w:spacing w:val="-1"/>
        </w:rPr>
        <w:t>schedules</w:t>
      </w:r>
      <w:r w:rsidRPr="00A94C9D">
        <w:rPr>
          <w:spacing w:val="19"/>
        </w:rPr>
        <w:t xml:space="preserve"> </w:t>
      </w:r>
      <w:r w:rsidRPr="00A94C9D">
        <w:rPr>
          <w:spacing w:val="-1"/>
        </w:rPr>
        <w:t>of</w:t>
      </w:r>
      <w:r w:rsidRPr="00A94C9D">
        <w:rPr>
          <w:spacing w:val="17"/>
        </w:rPr>
        <w:t xml:space="preserve"> </w:t>
      </w:r>
      <w:r w:rsidRPr="00A94C9D">
        <w:rPr>
          <w:spacing w:val="-1"/>
        </w:rPr>
        <w:t>information</w:t>
      </w:r>
      <w:r w:rsidRPr="00A94C9D">
        <w:rPr>
          <w:spacing w:val="19"/>
        </w:rPr>
        <w:t xml:space="preserve"> </w:t>
      </w:r>
      <w:r>
        <w:t>required</w:t>
      </w:r>
      <w:r w:rsidRPr="00A94C9D">
        <w:rPr>
          <w:spacing w:val="19"/>
        </w:rPr>
        <w:t xml:space="preserve"> </w:t>
      </w:r>
      <w:r>
        <w:t>by</w:t>
      </w:r>
      <w:r w:rsidRPr="00A94C9D">
        <w:rPr>
          <w:spacing w:val="18"/>
        </w:rPr>
        <w:t xml:space="preserve"> </w:t>
      </w:r>
      <w:r>
        <w:t>the</w:t>
      </w:r>
      <w:r w:rsidRPr="00A94C9D">
        <w:rPr>
          <w:spacing w:val="65"/>
        </w:rPr>
        <w:t xml:space="preserve"> </w:t>
      </w:r>
      <w:r w:rsidRPr="00A94C9D">
        <w:rPr>
          <w:spacing w:val="-1"/>
        </w:rPr>
        <w:t>Commission’s</w:t>
      </w:r>
      <w:r w:rsidRPr="00A94C9D">
        <w:rPr>
          <w:spacing w:val="11"/>
        </w:rPr>
        <w:t xml:space="preserve"> </w:t>
      </w:r>
      <w:r>
        <w:t>Rate</w:t>
      </w:r>
      <w:r w:rsidRPr="00A94C9D">
        <w:rPr>
          <w:spacing w:val="11"/>
        </w:rPr>
        <w:t xml:space="preserve"> </w:t>
      </w:r>
      <w:r w:rsidRPr="00A94C9D">
        <w:rPr>
          <w:spacing w:val="-1"/>
        </w:rPr>
        <w:t>Filing</w:t>
      </w:r>
      <w:r w:rsidRPr="00A94C9D">
        <w:rPr>
          <w:spacing w:val="11"/>
        </w:rPr>
        <w:t xml:space="preserve"> </w:t>
      </w:r>
      <w:r w:rsidRPr="00A94C9D">
        <w:rPr>
          <w:spacing w:val="-1"/>
        </w:rPr>
        <w:t>Package</w:t>
      </w:r>
      <w:r w:rsidRPr="00A94C9D">
        <w:rPr>
          <w:spacing w:val="10"/>
        </w:rPr>
        <w:t xml:space="preserve"> </w:t>
      </w:r>
      <w:r>
        <w:t>(RFP)</w:t>
      </w:r>
      <w:r w:rsidRPr="00A94C9D">
        <w:rPr>
          <w:spacing w:val="10"/>
        </w:rPr>
        <w:t xml:space="preserve"> </w:t>
      </w:r>
      <w:r w:rsidRPr="00A94C9D">
        <w:rPr>
          <w:spacing w:val="-1"/>
        </w:rPr>
        <w:t>for</w:t>
      </w:r>
      <w:r w:rsidRPr="00A94C9D">
        <w:rPr>
          <w:spacing w:val="10"/>
        </w:rPr>
        <w:t xml:space="preserve"> </w:t>
      </w:r>
      <w:r>
        <w:t>generating</w:t>
      </w:r>
      <w:r w:rsidRPr="00A94C9D">
        <w:rPr>
          <w:spacing w:val="10"/>
        </w:rPr>
        <w:t xml:space="preserve"> </w:t>
      </w:r>
      <w:r>
        <w:t>utilities</w:t>
      </w:r>
      <w:r w:rsidRPr="00A94C9D">
        <w:rPr>
          <w:spacing w:val="9"/>
        </w:rPr>
        <w:t xml:space="preserve"> </w:t>
      </w:r>
      <w:r>
        <w:t>as</w:t>
      </w:r>
      <w:r w:rsidRPr="00A94C9D">
        <w:rPr>
          <w:spacing w:val="11"/>
        </w:rPr>
        <w:t xml:space="preserve"> </w:t>
      </w:r>
      <w:r w:rsidRPr="00A94C9D">
        <w:rPr>
          <w:spacing w:val="-1"/>
        </w:rPr>
        <w:t>well</w:t>
      </w:r>
      <w:r w:rsidRPr="00A94C9D">
        <w:rPr>
          <w:spacing w:val="10"/>
        </w:rPr>
        <w:t xml:space="preserve"> </w:t>
      </w:r>
      <w:r>
        <w:t>as</w:t>
      </w:r>
      <w:r w:rsidRPr="00A94C9D">
        <w:rPr>
          <w:spacing w:val="11"/>
        </w:rPr>
        <w:t xml:space="preserve"> </w:t>
      </w:r>
      <w:r>
        <w:t>the</w:t>
      </w:r>
      <w:r w:rsidRPr="00A94C9D">
        <w:rPr>
          <w:spacing w:val="11"/>
        </w:rPr>
        <w:t xml:space="preserve"> </w:t>
      </w:r>
      <w:r w:rsidRPr="00A94C9D">
        <w:rPr>
          <w:spacing w:val="-1"/>
        </w:rPr>
        <w:t>pre-filed</w:t>
      </w:r>
      <w:r w:rsidRPr="00A94C9D">
        <w:rPr>
          <w:spacing w:val="57"/>
        </w:rPr>
        <w:t xml:space="preserve"> </w:t>
      </w:r>
      <w:r>
        <w:t xml:space="preserve">direct </w:t>
      </w:r>
      <w:r w:rsidR="008F5C53" w:rsidRPr="00A94C9D">
        <w:rPr>
          <w:spacing w:val="-1"/>
        </w:rPr>
        <w:t>testimonies</w:t>
      </w:r>
      <w:r w:rsidR="008F5C53">
        <w:t xml:space="preserve"> of 37</w:t>
      </w:r>
      <w:r>
        <w:t xml:space="preserve"> witnesses.</w:t>
      </w:r>
    </w:p>
    <w:p w14:paraId="39A15460" w14:textId="21CC9BF8" w:rsidR="002F174F" w:rsidRPr="0065105F" w:rsidRDefault="002F174F"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Application</w:t>
      </w:r>
    </w:p>
    <w:p w14:paraId="3C40ED9F" w14:textId="77777777" w:rsidR="002F0762" w:rsidRDefault="000D1A7A" w:rsidP="002F0762">
      <w:pPr>
        <w:pStyle w:val="BodyText"/>
        <w:numPr>
          <w:ilvl w:val="0"/>
          <w:numId w:val="8"/>
        </w:numPr>
        <w:tabs>
          <w:tab w:val="left" w:pos="820"/>
        </w:tabs>
        <w:spacing w:line="360" w:lineRule="auto"/>
        <w:ind w:left="540" w:hanging="540"/>
        <w:jc w:val="both"/>
      </w:pPr>
      <w:r>
        <w:t>The</w:t>
      </w:r>
      <w:r>
        <w:rPr>
          <w:spacing w:val="15"/>
        </w:rPr>
        <w:t xml:space="preserve"> </w:t>
      </w:r>
      <w:r>
        <w:t>Application</w:t>
      </w:r>
      <w:r>
        <w:rPr>
          <w:spacing w:val="15"/>
        </w:rPr>
        <w:t xml:space="preserve"> </w:t>
      </w:r>
      <w:r>
        <w:t>requested</w:t>
      </w:r>
      <w:r>
        <w:rPr>
          <w:spacing w:val="15"/>
        </w:rPr>
        <w:t xml:space="preserve"> </w:t>
      </w:r>
      <w:r>
        <w:t>an</w:t>
      </w:r>
      <w:r>
        <w:rPr>
          <w:spacing w:val="15"/>
        </w:rPr>
        <w:t xml:space="preserve"> </w:t>
      </w:r>
      <w:r>
        <w:rPr>
          <w:spacing w:val="-1"/>
        </w:rPr>
        <w:t>increase</w:t>
      </w:r>
      <w:r>
        <w:rPr>
          <w:spacing w:val="15"/>
        </w:rPr>
        <w:t xml:space="preserve"> </w:t>
      </w:r>
      <w:r>
        <w:t>in</w:t>
      </w:r>
      <w:r>
        <w:rPr>
          <w:spacing w:val="15"/>
        </w:rPr>
        <w:t xml:space="preserve"> </w:t>
      </w:r>
      <w:r>
        <w:t>base</w:t>
      </w:r>
      <w:r>
        <w:rPr>
          <w:spacing w:val="15"/>
        </w:rPr>
        <w:t xml:space="preserve"> </w:t>
      </w:r>
      <w:r>
        <w:rPr>
          <w:spacing w:val="-1"/>
        </w:rPr>
        <w:t>and</w:t>
      </w:r>
      <w:r>
        <w:rPr>
          <w:spacing w:val="15"/>
        </w:rPr>
        <w:t xml:space="preserve"> </w:t>
      </w:r>
      <w:r>
        <w:t>rider</w:t>
      </w:r>
      <w:r>
        <w:rPr>
          <w:spacing w:val="15"/>
        </w:rPr>
        <w:t xml:space="preserve"> </w:t>
      </w:r>
      <w:r>
        <w:t>rates</w:t>
      </w:r>
      <w:r>
        <w:rPr>
          <w:spacing w:val="15"/>
        </w:rPr>
        <w:t xml:space="preserve"> </w:t>
      </w:r>
      <w:r>
        <w:t>designed</w:t>
      </w:r>
      <w:r>
        <w:rPr>
          <w:spacing w:val="15"/>
        </w:rPr>
        <w:t xml:space="preserve"> </w:t>
      </w:r>
      <w:r>
        <w:t>to</w:t>
      </w:r>
      <w:r>
        <w:rPr>
          <w:spacing w:val="15"/>
        </w:rPr>
        <w:t xml:space="preserve"> </w:t>
      </w:r>
      <w:r>
        <w:t>collect</w:t>
      </w:r>
      <w:r>
        <w:rPr>
          <w:spacing w:val="15"/>
        </w:rPr>
        <w:t xml:space="preserve"> </w:t>
      </w:r>
      <w:r>
        <w:t>a</w:t>
      </w:r>
      <w:r>
        <w:rPr>
          <w:spacing w:val="15"/>
        </w:rPr>
        <w:t xml:space="preserve"> </w:t>
      </w:r>
      <w:r>
        <w:rPr>
          <w:spacing w:val="-1"/>
        </w:rPr>
        <w:t>total</w:t>
      </w:r>
      <w:r>
        <w:rPr>
          <w:spacing w:val="27"/>
        </w:rPr>
        <w:t xml:space="preserve"> </w:t>
      </w:r>
      <w:r>
        <w:t>non-fuel</w:t>
      </w:r>
      <w:r>
        <w:rPr>
          <w:spacing w:val="25"/>
        </w:rPr>
        <w:t xml:space="preserve"> </w:t>
      </w:r>
      <w:r>
        <w:t>retail</w:t>
      </w:r>
      <w:r>
        <w:rPr>
          <w:spacing w:val="25"/>
        </w:rPr>
        <w:t xml:space="preserve"> </w:t>
      </w:r>
      <w:r>
        <w:rPr>
          <w:spacing w:val="-1"/>
        </w:rPr>
        <w:t>amount</w:t>
      </w:r>
      <w:r>
        <w:rPr>
          <w:spacing w:val="26"/>
        </w:rPr>
        <w:t xml:space="preserve"> </w:t>
      </w:r>
      <w:r>
        <w:t>of</w:t>
      </w:r>
      <w:r>
        <w:rPr>
          <w:spacing w:val="25"/>
        </w:rPr>
        <w:t xml:space="preserve"> </w:t>
      </w:r>
      <w:r>
        <w:t>approximately</w:t>
      </w:r>
      <w:r>
        <w:rPr>
          <w:spacing w:val="25"/>
        </w:rPr>
        <w:t xml:space="preserve"> </w:t>
      </w:r>
      <w:r>
        <w:t>$1.</w:t>
      </w:r>
      <w:r w:rsidR="008F5C53">
        <w:t xml:space="preserve">304 </w:t>
      </w:r>
      <w:r>
        <w:t>billion</w:t>
      </w:r>
      <w:r>
        <w:rPr>
          <w:spacing w:val="25"/>
        </w:rPr>
        <w:t xml:space="preserve"> </w:t>
      </w:r>
      <w:r>
        <w:t>per</w:t>
      </w:r>
      <w:r>
        <w:rPr>
          <w:spacing w:val="24"/>
        </w:rPr>
        <w:t xml:space="preserve"> </w:t>
      </w:r>
      <w:r>
        <w:rPr>
          <w:spacing w:val="-1"/>
        </w:rPr>
        <w:t>year,</w:t>
      </w:r>
      <w:r>
        <w:rPr>
          <w:spacing w:val="25"/>
        </w:rPr>
        <w:t xml:space="preserve"> </w:t>
      </w:r>
      <w:r>
        <w:t>an</w:t>
      </w:r>
      <w:r>
        <w:rPr>
          <w:spacing w:val="25"/>
        </w:rPr>
        <w:t xml:space="preserve"> </w:t>
      </w:r>
      <w:r>
        <w:t>increase</w:t>
      </w:r>
      <w:r>
        <w:rPr>
          <w:spacing w:val="25"/>
        </w:rPr>
        <w:t xml:space="preserve"> </w:t>
      </w:r>
      <w:r>
        <w:t>of</w:t>
      </w:r>
      <w:r>
        <w:rPr>
          <w:spacing w:val="25"/>
        </w:rPr>
        <w:t xml:space="preserve"> </w:t>
      </w:r>
      <w:r>
        <w:t>$</w:t>
      </w:r>
      <w:r w:rsidR="008F5C53">
        <w:t>131.4</w:t>
      </w:r>
      <w:r>
        <w:rPr>
          <w:spacing w:val="29"/>
        </w:rPr>
        <w:t xml:space="preserve"> </w:t>
      </w:r>
      <w:r>
        <w:rPr>
          <w:spacing w:val="-1"/>
        </w:rPr>
        <w:t>million</w:t>
      </w:r>
      <w:r w:rsidR="008F5C53">
        <w:rPr>
          <w:spacing w:val="-1"/>
        </w:rPr>
        <w:t>, or 11.2% on average across all customer classes compared to current adjusted retail base and rider revenues.  Including fuel, the request represented an increase of 6.95%.</w:t>
      </w:r>
    </w:p>
    <w:p w14:paraId="00272391" w14:textId="08BF0886" w:rsidR="000D1A7A" w:rsidRDefault="000D1A7A" w:rsidP="002F0762">
      <w:pPr>
        <w:pStyle w:val="BodyText"/>
        <w:numPr>
          <w:ilvl w:val="0"/>
          <w:numId w:val="8"/>
        </w:numPr>
        <w:tabs>
          <w:tab w:val="left" w:pos="820"/>
        </w:tabs>
        <w:spacing w:line="360" w:lineRule="auto"/>
        <w:ind w:left="540" w:hanging="540"/>
        <w:jc w:val="both"/>
      </w:pPr>
      <w:r>
        <w:t xml:space="preserve">The </w:t>
      </w:r>
      <w:r w:rsidRPr="002F0762">
        <w:rPr>
          <w:spacing w:val="-1"/>
        </w:rPr>
        <w:t>12-month</w:t>
      </w:r>
      <w:r>
        <w:t xml:space="preserve"> </w:t>
      </w:r>
      <w:r w:rsidRPr="002F0762">
        <w:rPr>
          <w:spacing w:val="-1"/>
        </w:rPr>
        <w:t>test</w:t>
      </w:r>
      <w:r>
        <w:t xml:space="preserve"> year employed in</w:t>
      </w:r>
      <w:r w:rsidRPr="002F0762">
        <w:rPr>
          <w:spacing w:val="-2"/>
        </w:rPr>
        <w:t xml:space="preserve"> </w:t>
      </w:r>
      <w:r>
        <w:t>ETI’s filing</w:t>
      </w:r>
      <w:r w:rsidRPr="002F0762">
        <w:rPr>
          <w:spacing w:val="-2"/>
        </w:rPr>
        <w:t xml:space="preserve"> </w:t>
      </w:r>
      <w:r>
        <w:t xml:space="preserve">ended on </w:t>
      </w:r>
      <w:r w:rsidRPr="002F0762">
        <w:rPr>
          <w:spacing w:val="-1"/>
        </w:rPr>
        <w:t>December</w:t>
      </w:r>
      <w:r>
        <w:t xml:space="preserve"> 31, </w:t>
      </w:r>
      <w:r w:rsidR="008F5C53">
        <w:t>202</w:t>
      </w:r>
      <w:r w:rsidR="002410A4">
        <w:t>1</w:t>
      </w:r>
      <w:r>
        <w:t>.</w:t>
      </w:r>
    </w:p>
    <w:p w14:paraId="437C5208" w14:textId="53848044" w:rsidR="002522A8" w:rsidRDefault="002522A8" w:rsidP="0086611A">
      <w:pPr>
        <w:pStyle w:val="BodyText"/>
        <w:tabs>
          <w:tab w:val="left" w:pos="820"/>
        </w:tabs>
        <w:ind w:left="0" w:firstLine="0"/>
        <w:jc w:val="both"/>
      </w:pPr>
    </w:p>
    <w:p w14:paraId="420F18FB" w14:textId="1E7BC959" w:rsidR="002522A8" w:rsidRPr="0065105F" w:rsidRDefault="002522A8"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lastRenderedPageBreak/>
        <w:t>Notice</w:t>
      </w:r>
      <w:r w:rsidR="008658D7">
        <w:rPr>
          <w:rFonts w:ascii="Times New Roman" w:hAnsi="Times New Roman" w:cs="Times New Roman"/>
          <w:b/>
          <w:bCs/>
          <w:i/>
          <w:color w:val="auto"/>
          <w:sz w:val="24"/>
          <w:szCs w:val="24"/>
          <w:u w:val="single"/>
        </w:rPr>
        <w:t xml:space="preserve"> of Application</w:t>
      </w:r>
    </w:p>
    <w:p w14:paraId="2431A091" w14:textId="265EE2CE" w:rsidR="008658D7" w:rsidRDefault="000D1A7A" w:rsidP="002F0762">
      <w:pPr>
        <w:pStyle w:val="BodyText"/>
        <w:numPr>
          <w:ilvl w:val="0"/>
          <w:numId w:val="8"/>
        </w:numPr>
        <w:tabs>
          <w:tab w:val="left" w:pos="820"/>
        </w:tabs>
        <w:spacing w:before="138" w:line="360" w:lineRule="auto"/>
        <w:ind w:left="540" w:hanging="540"/>
        <w:jc w:val="both"/>
      </w:pPr>
      <w:r>
        <w:t>ETI</w:t>
      </w:r>
      <w:r>
        <w:rPr>
          <w:spacing w:val="-8"/>
        </w:rPr>
        <w:t xml:space="preserve"> </w:t>
      </w:r>
      <w:r>
        <w:t>provided</w:t>
      </w:r>
      <w:r>
        <w:rPr>
          <w:spacing w:val="-8"/>
        </w:rPr>
        <w:t xml:space="preserve"> </w:t>
      </w:r>
      <w:r>
        <w:t>notice</w:t>
      </w:r>
      <w:r>
        <w:rPr>
          <w:spacing w:val="-8"/>
        </w:rPr>
        <w:t xml:space="preserve"> </w:t>
      </w:r>
      <w:r>
        <w:t>by</w:t>
      </w:r>
      <w:r>
        <w:rPr>
          <w:spacing w:val="-8"/>
        </w:rPr>
        <w:t xml:space="preserve"> </w:t>
      </w:r>
      <w:r>
        <w:rPr>
          <w:spacing w:val="-1"/>
        </w:rPr>
        <w:t>publication</w:t>
      </w:r>
      <w:r>
        <w:rPr>
          <w:spacing w:val="-8"/>
        </w:rPr>
        <w:t xml:space="preserve"> </w:t>
      </w:r>
      <w:r>
        <w:t>for</w:t>
      </w:r>
      <w:r>
        <w:rPr>
          <w:spacing w:val="-8"/>
        </w:rPr>
        <w:t xml:space="preserve"> </w:t>
      </w:r>
      <w:r>
        <w:t>four</w:t>
      </w:r>
      <w:r>
        <w:rPr>
          <w:spacing w:val="-8"/>
        </w:rPr>
        <w:t xml:space="preserve"> </w:t>
      </w:r>
      <w:r>
        <w:t>consecutive</w:t>
      </w:r>
      <w:r>
        <w:rPr>
          <w:spacing w:val="-8"/>
        </w:rPr>
        <w:t xml:space="preserve"> </w:t>
      </w:r>
      <w:r>
        <w:t>weeks</w:t>
      </w:r>
      <w:r>
        <w:rPr>
          <w:spacing w:val="-8"/>
        </w:rPr>
        <w:t xml:space="preserve"> </w:t>
      </w:r>
      <w:r>
        <w:rPr>
          <w:spacing w:val="-1"/>
        </w:rPr>
        <w:t>before</w:t>
      </w:r>
      <w:r>
        <w:rPr>
          <w:spacing w:val="-8"/>
        </w:rPr>
        <w:t xml:space="preserve"> </w:t>
      </w:r>
      <w:r>
        <w:t>the</w:t>
      </w:r>
      <w:r>
        <w:rPr>
          <w:spacing w:val="-8"/>
        </w:rPr>
        <w:t xml:space="preserve"> </w:t>
      </w:r>
      <w:r>
        <w:t>effective</w:t>
      </w:r>
      <w:r>
        <w:rPr>
          <w:spacing w:val="-8"/>
        </w:rPr>
        <w:t xml:space="preserve"> </w:t>
      </w:r>
      <w:r>
        <w:t>date</w:t>
      </w:r>
      <w:r>
        <w:rPr>
          <w:spacing w:val="-8"/>
        </w:rPr>
        <w:t xml:space="preserve"> </w:t>
      </w:r>
      <w:r>
        <w:t>of</w:t>
      </w:r>
      <w:r>
        <w:rPr>
          <w:spacing w:val="30"/>
        </w:rPr>
        <w:t xml:space="preserve"> </w:t>
      </w:r>
      <w:r>
        <w:rPr>
          <w:spacing w:val="-1"/>
        </w:rPr>
        <w:t>the</w:t>
      </w:r>
      <w:r>
        <w:rPr>
          <w:spacing w:val="-10"/>
        </w:rPr>
        <w:t xml:space="preserve"> </w:t>
      </w:r>
      <w:r>
        <w:rPr>
          <w:spacing w:val="-1"/>
        </w:rPr>
        <w:t>proposed</w:t>
      </w:r>
      <w:r>
        <w:rPr>
          <w:spacing w:val="-10"/>
        </w:rPr>
        <w:t xml:space="preserve"> </w:t>
      </w:r>
      <w:r>
        <w:rPr>
          <w:spacing w:val="-1"/>
        </w:rPr>
        <w:t>rate</w:t>
      </w:r>
      <w:r>
        <w:rPr>
          <w:spacing w:val="-10"/>
        </w:rPr>
        <w:t xml:space="preserve"> </w:t>
      </w:r>
      <w:r>
        <w:rPr>
          <w:spacing w:val="-1"/>
        </w:rPr>
        <w:t>change</w:t>
      </w:r>
      <w:r>
        <w:rPr>
          <w:spacing w:val="-11"/>
        </w:rPr>
        <w:t xml:space="preserve"> </w:t>
      </w:r>
      <w:r>
        <w:rPr>
          <w:spacing w:val="-1"/>
        </w:rPr>
        <w:t>in</w:t>
      </w:r>
      <w:r>
        <w:rPr>
          <w:spacing w:val="-10"/>
        </w:rPr>
        <w:t xml:space="preserve"> </w:t>
      </w:r>
      <w:r>
        <w:rPr>
          <w:spacing w:val="-1"/>
        </w:rPr>
        <w:t>newspapers</w:t>
      </w:r>
      <w:r>
        <w:rPr>
          <w:spacing w:val="-10"/>
        </w:rPr>
        <w:t xml:space="preserve"> </w:t>
      </w:r>
      <w:r>
        <w:rPr>
          <w:spacing w:val="-1"/>
        </w:rPr>
        <w:t>having</w:t>
      </w:r>
      <w:r>
        <w:rPr>
          <w:spacing w:val="-10"/>
        </w:rPr>
        <w:t xml:space="preserve"> </w:t>
      </w:r>
      <w:r>
        <w:rPr>
          <w:spacing w:val="-1"/>
        </w:rPr>
        <w:t>general</w:t>
      </w:r>
      <w:r>
        <w:rPr>
          <w:spacing w:val="-10"/>
        </w:rPr>
        <w:t xml:space="preserve"> </w:t>
      </w:r>
      <w:r>
        <w:rPr>
          <w:spacing w:val="-1"/>
        </w:rPr>
        <w:t>circulation</w:t>
      </w:r>
      <w:r>
        <w:rPr>
          <w:spacing w:val="-11"/>
        </w:rPr>
        <w:t xml:space="preserve"> </w:t>
      </w:r>
      <w:r>
        <w:t>in</w:t>
      </w:r>
      <w:r>
        <w:rPr>
          <w:spacing w:val="-10"/>
        </w:rPr>
        <w:t xml:space="preserve"> </w:t>
      </w:r>
      <w:r>
        <w:t>each</w:t>
      </w:r>
      <w:r>
        <w:rPr>
          <w:spacing w:val="-11"/>
        </w:rPr>
        <w:t xml:space="preserve"> </w:t>
      </w:r>
      <w:r>
        <w:t>county</w:t>
      </w:r>
      <w:r>
        <w:rPr>
          <w:spacing w:val="-10"/>
        </w:rPr>
        <w:t xml:space="preserve"> </w:t>
      </w:r>
      <w:r>
        <w:t>of</w:t>
      </w:r>
      <w:r>
        <w:rPr>
          <w:spacing w:val="-10"/>
        </w:rPr>
        <w:t xml:space="preserve"> </w:t>
      </w:r>
      <w:r>
        <w:rPr>
          <w:spacing w:val="-1"/>
        </w:rPr>
        <w:t>ETI’s</w:t>
      </w:r>
      <w:r>
        <w:rPr>
          <w:spacing w:val="31"/>
        </w:rPr>
        <w:t xml:space="preserve"> </w:t>
      </w:r>
      <w:r>
        <w:t>service</w:t>
      </w:r>
      <w:r>
        <w:rPr>
          <w:spacing w:val="-14"/>
        </w:rPr>
        <w:t xml:space="preserve"> </w:t>
      </w:r>
      <w:r>
        <w:t>territory.</w:t>
      </w:r>
      <w:r>
        <w:rPr>
          <w:spacing w:val="33"/>
        </w:rPr>
        <w:t xml:space="preserve"> </w:t>
      </w:r>
      <w:r>
        <w:t>ETI</w:t>
      </w:r>
      <w:r>
        <w:rPr>
          <w:spacing w:val="-14"/>
        </w:rPr>
        <w:t xml:space="preserve"> </w:t>
      </w:r>
      <w:r>
        <w:t>also</w:t>
      </w:r>
      <w:r>
        <w:rPr>
          <w:spacing w:val="-12"/>
        </w:rPr>
        <w:t xml:space="preserve"> </w:t>
      </w:r>
      <w:r>
        <w:rPr>
          <w:spacing w:val="-1"/>
        </w:rPr>
        <w:t>mailed</w:t>
      </w:r>
      <w:r>
        <w:rPr>
          <w:spacing w:val="-14"/>
        </w:rPr>
        <w:t xml:space="preserve"> </w:t>
      </w:r>
      <w:r>
        <w:t>notice</w:t>
      </w:r>
      <w:r>
        <w:rPr>
          <w:spacing w:val="-14"/>
        </w:rPr>
        <w:t xml:space="preserve"> </w:t>
      </w:r>
      <w:r>
        <w:t>of</w:t>
      </w:r>
      <w:r>
        <w:rPr>
          <w:spacing w:val="-14"/>
        </w:rPr>
        <w:t xml:space="preserve"> </w:t>
      </w:r>
      <w:r>
        <w:t>the</w:t>
      </w:r>
      <w:r>
        <w:rPr>
          <w:spacing w:val="-14"/>
        </w:rPr>
        <w:t xml:space="preserve"> </w:t>
      </w:r>
      <w:r>
        <w:t>proposed</w:t>
      </w:r>
      <w:r>
        <w:rPr>
          <w:spacing w:val="-14"/>
        </w:rPr>
        <w:t xml:space="preserve"> </w:t>
      </w:r>
      <w:r>
        <w:t>rate</w:t>
      </w:r>
      <w:r>
        <w:rPr>
          <w:spacing w:val="-16"/>
        </w:rPr>
        <w:t xml:space="preserve"> </w:t>
      </w:r>
      <w:r>
        <w:t>change</w:t>
      </w:r>
      <w:r>
        <w:rPr>
          <w:spacing w:val="-14"/>
        </w:rPr>
        <w:t xml:space="preserve"> </w:t>
      </w:r>
      <w:r>
        <w:t>to</w:t>
      </w:r>
      <w:r>
        <w:rPr>
          <w:spacing w:val="-14"/>
        </w:rPr>
        <w:t xml:space="preserve"> </w:t>
      </w:r>
      <w:r>
        <w:t>all</w:t>
      </w:r>
      <w:r>
        <w:rPr>
          <w:spacing w:val="-14"/>
        </w:rPr>
        <w:t xml:space="preserve"> </w:t>
      </w:r>
      <w:r>
        <w:t>of</w:t>
      </w:r>
      <w:r>
        <w:rPr>
          <w:spacing w:val="-14"/>
        </w:rPr>
        <w:t xml:space="preserve"> </w:t>
      </w:r>
      <w:r>
        <w:t>its</w:t>
      </w:r>
      <w:r>
        <w:rPr>
          <w:spacing w:val="-14"/>
        </w:rPr>
        <w:t xml:space="preserve"> </w:t>
      </w:r>
      <w:r>
        <w:rPr>
          <w:spacing w:val="-1"/>
        </w:rPr>
        <w:t>customers.</w:t>
      </w:r>
    </w:p>
    <w:p w14:paraId="7B824664" w14:textId="40F47C91" w:rsidR="000D1A7A" w:rsidRDefault="000D1A7A" w:rsidP="002F0762">
      <w:pPr>
        <w:pStyle w:val="BodyText"/>
        <w:numPr>
          <w:ilvl w:val="0"/>
          <w:numId w:val="8"/>
        </w:numPr>
        <w:tabs>
          <w:tab w:val="left" w:pos="820"/>
        </w:tabs>
        <w:spacing w:before="138" w:line="360" w:lineRule="auto"/>
        <w:ind w:left="540" w:hanging="540"/>
        <w:jc w:val="both"/>
        <w:rPr>
          <w:spacing w:val="-1"/>
        </w:rPr>
      </w:pPr>
      <w:r>
        <w:t>ETI</w:t>
      </w:r>
      <w:r>
        <w:rPr>
          <w:spacing w:val="21"/>
        </w:rPr>
        <w:t xml:space="preserve"> </w:t>
      </w:r>
      <w:r>
        <w:rPr>
          <w:spacing w:val="-1"/>
        </w:rPr>
        <w:t>timely</w:t>
      </w:r>
      <w:r>
        <w:rPr>
          <w:spacing w:val="21"/>
        </w:rPr>
        <w:t xml:space="preserve"> </w:t>
      </w:r>
      <w:r>
        <w:t>served</w:t>
      </w:r>
      <w:r>
        <w:rPr>
          <w:spacing w:val="21"/>
        </w:rPr>
        <w:t xml:space="preserve"> </w:t>
      </w:r>
      <w:r>
        <w:t>notice</w:t>
      </w:r>
      <w:r>
        <w:rPr>
          <w:spacing w:val="21"/>
        </w:rPr>
        <w:t xml:space="preserve"> </w:t>
      </w:r>
      <w:r>
        <w:t>of</w:t>
      </w:r>
      <w:r>
        <w:rPr>
          <w:spacing w:val="20"/>
        </w:rPr>
        <w:t xml:space="preserve"> </w:t>
      </w:r>
      <w:r>
        <w:t>the</w:t>
      </w:r>
      <w:r>
        <w:rPr>
          <w:spacing w:val="21"/>
        </w:rPr>
        <w:t xml:space="preserve"> </w:t>
      </w:r>
      <w:r>
        <w:rPr>
          <w:spacing w:val="-1"/>
        </w:rPr>
        <w:t>statement</w:t>
      </w:r>
      <w:r>
        <w:rPr>
          <w:spacing w:val="21"/>
        </w:rPr>
        <w:t xml:space="preserve"> </w:t>
      </w:r>
      <w:r>
        <w:t>of</w:t>
      </w:r>
      <w:r>
        <w:rPr>
          <w:spacing w:val="21"/>
        </w:rPr>
        <w:t xml:space="preserve"> </w:t>
      </w:r>
      <w:r>
        <w:rPr>
          <w:spacing w:val="-1"/>
        </w:rPr>
        <w:t>intent</w:t>
      </w:r>
      <w:r>
        <w:rPr>
          <w:spacing w:val="21"/>
        </w:rPr>
        <w:t xml:space="preserve"> </w:t>
      </w:r>
      <w:r>
        <w:t>to</w:t>
      </w:r>
      <w:r>
        <w:rPr>
          <w:spacing w:val="21"/>
        </w:rPr>
        <w:t xml:space="preserve"> </w:t>
      </w:r>
      <w:r>
        <w:rPr>
          <w:spacing w:val="-1"/>
        </w:rPr>
        <w:t>change</w:t>
      </w:r>
      <w:r>
        <w:rPr>
          <w:spacing w:val="21"/>
        </w:rPr>
        <w:t xml:space="preserve"> </w:t>
      </w:r>
      <w:r>
        <w:t>rates</w:t>
      </w:r>
      <w:r>
        <w:rPr>
          <w:spacing w:val="21"/>
        </w:rPr>
        <w:t xml:space="preserve"> </w:t>
      </w:r>
      <w:r>
        <w:t>on</w:t>
      </w:r>
      <w:r>
        <w:rPr>
          <w:spacing w:val="20"/>
        </w:rPr>
        <w:t xml:space="preserve"> </w:t>
      </w:r>
      <w:r>
        <w:t>all</w:t>
      </w:r>
      <w:r>
        <w:rPr>
          <w:spacing w:val="59"/>
        </w:rPr>
        <w:t xml:space="preserve"> </w:t>
      </w:r>
      <w:r>
        <w:t xml:space="preserve">municipalities retaining </w:t>
      </w:r>
      <w:r>
        <w:rPr>
          <w:spacing w:val="-1"/>
        </w:rPr>
        <w:t>original</w:t>
      </w:r>
      <w:r>
        <w:t xml:space="preserve"> jurisdiction over its rates </w:t>
      </w:r>
      <w:r>
        <w:rPr>
          <w:spacing w:val="-1"/>
        </w:rPr>
        <w:t>and services.</w:t>
      </w:r>
    </w:p>
    <w:p w14:paraId="05B2BEE1" w14:textId="1F00BE90" w:rsidR="008211A7" w:rsidRDefault="008211A7" w:rsidP="0086611A">
      <w:pPr>
        <w:pStyle w:val="Heading2"/>
        <w:spacing w:before="189" w:after="240"/>
        <w:jc w:val="both"/>
        <w:rPr>
          <w:spacing w:val="-1"/>
        </w:rPr>
      </w:pPr>
      <w:r>
        <w:rPr>
          <w:rFonts w:ascii="Times New Roman" w:hAnsi="Times New Roman" w:cs="Times New Roman"/>
          <w:b/>
          <w:bCs/>
          <w:i/>
          <w:color w:val="auto"/>
          <w:sz w:val="24"/>
          <w:szCs w:val="24"/>
          <w:u w:val="single"/>
        </w:rPr>
        <w:t>Referral to SOAH</w:t>
      </w:r>
    </w:p>
    <w:p w14:paraId="4FD35314" w14:textId="6174B488" w:rsidR="000D1A7A" w:rsidRDefault="000D1A7A" w:rsidP="002F0762">
      <w:pPr>
        <w:pStyle w:val="BodyText"/>
        <w:numPr>
          <w:ilvl w:val="0"/>
          <w:numId w:val="8"/>
        </w:numPr>
        <w:tabs>
          <w:tab w:val="left" w:pos="820"/>
        </w:tabs>
        <w:spacing w:line="360" w:lineRule="auto"/>
        <w:ind w:left="540" w:hanging="540"/>
        <w:jc w:val="both"/>
      </w:pPr>
      <w:r>
        <w:rPr>
          <w:spacing w:val="-1"/>
        </w:rPr>
        <w:t>On</w:t>
      </w:r>
      <w:r>
        <w:rPr>
          <w:spacing w:val="-5"/>
        </w:rPr>
        <w:t xml:space="preserve"> </w:t>
      </w:r>
      <w:r w:rsidR="008F5C53">
        <w:rPr>
          <w:spacing w:val="-1"/>
        </w:rPr>
        <w:t>July 6, 2022</w:t>
      </w:r>
      <w:r>
        <w:rPr>
          <w:spacing w:val="-1"/>
        </w:rPr>
        <w:t>,</w:t>
      </w:r>
      <w:r>
        <w:rPr>
          <w:spacing w:val="-5"/>
        </w:rPr>
        <w:t xml:space="preserve"> </w:t>
      </w:r>
      <w:r>
        <w:rPr>
          <w:spacing w:val="-1"/>
        </w:rPr>
        <w:t>the</w:t>
      </w:r>
      <w:r>
        <w:rPr>
          <w:spacing w:val="-5"/>
        </w:rPr>
        <w:t xml:space="preserve"> </w:t>
      </w:r>
      <w:r>
        <w:rPr>
          <w:spacing w:val="-1"/>
        </w:rPr>
        <w:t>Commission</w:t>
      </w:r>
      <w:r>
        <w:rPr>
          <w:spacing w:val="-5"/>
        </w:rPr>
        <w:t xml:space="preserve"> </w:t>
      </w:r>
      <w:r>
        <w:rPr>
          <w:spacing w:val="-1"/>
        </w:rPr>
        <w:t>referred</w:t>
      </w:r>
      <w:r>
        <w:rPr>
          <w:spacing w:val="-5"/>
        </w:rPr>
        <w:t xml:space="preserve"> </w:t>
      </w:r>
      <w:r>
        <w:t>this</w:t>
      </w:r>
      <w:r>
        <w:rPr>
          <w:spacing w:val="-5"/>
        </w:rPr>
        <w:t xml:space="preserve"> </w:t>
      </w:r>
      <w:r>
        <w:rPr>
          <w:spacing w:val="-1"/>
        </w:rPr>
        <w:t>case</w:t>
      </w:r>
      <w:r>
        <w:rPr>
          <w:spacing w:val="-5"/>
        </w:rPr>
        <w:t xml:space="preserve"> </w:t>
      </w:r>
      <w:r>
        <w:t>to</w:t>
      </w:r>
      <w:r>
        <w:rPr>
          <w:spacing w:val="-5"/>
        </w:rPr>
        <w:t xml:space="preserve"> </w:t>
      </w:r>
      <w:r>
        <w:t>the</w:t>
      </w:r>
      <w:r>
        <w:rPr>
          <w:spacing w:val="-5"/>
        </w:rPr>
        <w:t xml:space="preserve"> </w:t>
      </w:r>
      <w:r>
        <w:rPr>
          <w:spacing w:val="-1"/>
        </w:rPr>
        <w:t>State</w:t>
      </w:r>
      <w:r>
        <w:rPr>
          <w:spacing w:val="-6"/>
        </w:rPr>
        <w:t xml:space="preserve"> </w:t>
      </w:r>
      <w:r>
        <w:rPr>
          <w:spacing w:val="-1"/>
        </w:rPr>
        <w:t>Office</w:t>
      </w:r>
      <w:r>
        <w:rPr>
          <w:spacing w:val="-6"/>
        </w:rPr>
        <w:t xml:space="preserve"> </w:t>
      </w:r>
      <w:r>
        <w:t>of</w:t>
      </w:r>
      <w:r>
        <w:rPr>
          <w:spacing w:val="-6"/>
        </w:rPr>
        <w:t xml:space="preserve"> </w:t>
      </w:r>
      <w:r>
        <w:rPr>
          <w:spacing w:val="-1"/>
        </w:rPr>
        <w:t>Administrative</w:t>
      </w:r>
      <w:r>
        <w:rPr>
          <w:spacing w:val="52"/>
        </w:rPr>
        <w:t xml:space="preserve"> </w:t>
      </w:r>
      <w:r>
        <w:rPr>
          <w:spacing w:val="-1"/>
        </w:rPr>
        <w:t>Hearings (SOAH) for processing.</w:t>
      </w:r>
    </w:p>
    <w:p w14:paraId="253AF956" w14:textId="683C3CA3" w:rsidR="3A7A3BA2" w:rsidRDefault="3A7A3BA2" w:rsidP="70F45E50">
      <w:pPr>
        <w:pStyle w:val="BodyText"/>
        <w:numPr>
          <w:ilvl w:val="0"/>
          <w:numId w:val="8"/>
        </w:numPr>
        <w:tabs>
          <w:tab w:val="left" w:pos="820"/>
        </w:tabs>
        <w:spacing w:line="360" w:lineRule="auto"/>
        <w:ind w:left="540" w:hanging="540"/>
        <w:jc w:val="both"/>
      </w:pPr>
      <w:r>
        <w:t xml:space="preserve">On </w:t>
      </w:r>
      <w:r w:rsidR="19CCAE3B">
        <w:t xml:space="preserve">July 11, 2022, the SOAH Administrative Law Judge (ALJ) issued Order No. 1 </w:t>
      </w:r>
      <w:r w:rsidR="315D6FA1">
        <w:t>suspending the effective date to January 2, 2023.</w:t>
      </w:r>
    </w:p>
    <w:p w14:paraId="607D12DC" w14:textId="725800A1" w:rsidR="008F5C53" w:rsidRPr="008F5C53" w:rsidRDefault="000D1A7A" w:rsidP="002F0762">
      <w:pPr>
        <w:pStyle w:val="BodyText"/>
        <w:numPr>
          <w:ilvl w:val="0"/>
          <w:numId w:val="8"/>
        </w:numPr>
        <w:tabs>
          <w:tab w:val="left" w:pos="820"/>
        </w:tabs>
        <w:spacing w:line="360" w:lineRule="auto"/>
        <w:ind w:left="540" w:hanging="540"/>
        <w:jc w:val="both"/>
      </w:pPr>
      <w:r>
        <w:t xml:space="preserve">On </w:t>
      </w:r>
      <w:r w:rsidR="00E13E38">
        <w:t xml:space="preserve">July 29, 2022, </w:t>
      </w:r>
      <w:r>
        <w:t xml:space="preserve">the </w:t>
      </w:r>
      <w:r>
        <w:rPr>
          <w:spacing w:val="-1"/>
        </w:rPr>
        <w:t>SOAH</w:t>
      </w:r>
      <w:r>
        <w:t xml:space="preserve"> </w:t>
      </w:r>
      <w:r>
        <w:rPr>
          <w:spacing w:val="-1"/>
        </w:rPr>
        <w:t xml:space="preserve">ALJ </w:t>
      </w:r>
      <w:r w:rsidR="00E13E38">
        <w:rPr>
          <w:spacing w:val="-1"/>
        </w:rPr>
        <w:t>issued an order memorializing the prehearing conference, adopting a procedural schedule</w:t>
      </w:r>
      <w:r w:rsidR="002D37F1">
        <w:rPr>
          <w:spacing w:val="-1"/>
        </w:rPr>
        <w:t>,</w:t>
      </w:r>
      <w:r w:rsidR="00E13E38">
        <w:rPr>
          <w:spacing w:val="-1"/>
        </w:rPr>
        <w:t xml:space="preserve"> and setting the Hearing on the Merits.  </w:t>
      </w:r>
    </w:p>
    <w:p w14:paraId="67DFE19E" w14:textId="3A106D02" w:rsidR="000D1A7A" w:rsidRDefault="00E13E38" w:rsidP="002F0762">
      <w:pPr>
        <w:pStyle w:val="BodyText"/>
        <w:numPr>
          <w:ilvl w:val="0"/>
          <w:numId w:val="8"/>
        </w:numPr>
        <w:tabs>
          <w:tab w:val="left" w:pos="820"/>
        </w:tabs>
        <w:spacing w:line="359" w:lineRule="auto"/>
        <w:ind w:left="540" w:hanging="540"/>
        <w:jc w:val="both"/>
      </w:pPr>
      <w:r w:rsidRPr="00E13E38">
        <w:rPr>
          <w:spacing w:val="-1"/>
        </w:rPr>
        <w:t>In the July 29, 2022</w:t>
      </w:r>
      <w:r w:rsidR="00E12DAA">
        <w:rPr>
          <w:spacing w:val="-1"/>
        </w:rPr>
        <w:t>,</w:t>
      </w:r>
      <w:r w:rsidRPr="00E13E38">
        <w:rPr>
          <w:spacing w:val="-1"/>
        </w:rPr>
        <w:t xml:space="preserve"> </w:t>
      </w:r>
      <w:r w:rsidR="000D1A7A" w:rsidRPr="00E13E38">
        <w:rPr>
          <w:spacing w:val="-1"/>
        </w:rPr>
        <w:t>SOAH Order</w:t>
      </w:r>
      <w:r w:rsidRPr="00E13E38">
        <w:rPr>
          <w:spacing w:val="-1"/>
        </w:rPr>
        <w:t xml:space="preserve">, </w:t>
      </w:r>
      <w:r w:rsidR="002D37F1">
        <w:t xml:space="preserve">the ALJ </w:t>
      </w:r>
      <w:r w:rsidR="000D1A7A">
        <w:t>granted</w:t>
      </w:r>
      <w:r w:rsidR="000D1A7A" w:rsidRPr="00E13E38">
        <w:rPr>
          <w:spacing w:val="-12"/>
        </w:rPr>
        <w:t xml:space="preserve"> </w:t>
      </w:r>
      <w:r w:rsidR="000D1A7A">
        <w:t>intervenor</w:t>
      </w:r>
      <w:r w:rsidR="000D1A7A" w:rsidRPr="00E13E38">
        <w:rPr>
          <w:spacing w:val="-11"/>
        </w:rPr>
        <w:t xml:space="preserve"> </w:t>
      </w:r>
      <w:r w:rsidR="000D1A7A">
        <w:t>status</w:t>
      </w:r>
      <w:r w:rsidR="000D1A7A" w:rsidRPr="00E13E38">
        <w:rPr>
          <w:spacing w:val="-12"/>
        </w:rPr>
        <w:t xml:space="preserve"> </w:t>
      </w:r>
      <w:r w:rsidR="000D1A7A">
        <w:t>to</w:t>
      </w:r>
      <w:r w:rsidR="000D1A7A" w:rsidRPr="00E13E38">
        <w:rPr>
          <w:spacing w:val="-11"/>
        </w:rPr>
        <w:t xml:space="preserve"> </w:t>
      </w:r>
      <w:r w:rsidR="000D1A7A">
        <w:t>the</w:t>
      </w:r>
      <w:r w:rsidR="000D1A7A" w:rsidRPr="00E13E38">
        <w:rPr>
          <w:spacing w:val="-11"/>
        </w:rPr>
        <w:t xml:space="preserve"> </w:t>
      </w:r>
      <w:r w:rsidR="000D1A7A" w:rsidRPr="00E13E38">
        <w:rPr>
          <w:spacing w:val="-1"/>
        </w:rPr>
        <w:t>following</w:t>
      </w:r>
      <w:r w:rsidR="000D1A7A" w:rsidRPr="00E13E38">
        <w:rPr>
          <w:spacing w:val="-11"/>
        </w:rPr>
        <w:t xml:space="preserve"> </w:t>
      </w:r>
      <w:r w:rsidR="000D1A7A">
        <w:t>parties:</w:t>
      </w:r>
      <w:r w:rsidR="000D1A7A" w:rsidRPr="00E13E38">
        <w:rPr>
          <w:spacing w:val="-11"/>
        </w:rPr>
        <w:t xml:space="preserve"> </w:t>
      </w:r>
      <w:r w:rsidR="000D1A7A" w:rsidRPr="00E13E38">
        <w:rPr>
          <w:spacing w:val="-1"/>
        </w:rPr>
        <w:t>Texas</w:t>
      </w:r>
      <w:r w:rsidR="000D1A7A" w:rsidRPr="00E13E38">
        <w:rPr>
          <w:spacing w:val="-11"/>
        </w:rPr>
        <w:t xml:space="preserve"> </w:t>
      </w:r>
      <w:r w:rsidR="000D1A7A">
        <w:t>Industrial</w:t>
      </w:r>
      <w:r w:rsidR="000D1A7A" w:rsidRPr="00E13E38">
        <w:rPr>
          <w:spacing w:val="31"/>
        </w:rPr>
        <w:t xml:space="preserve"> </w:t>
      </w:r>
      <w:r w:rsidR="000D1A7A">
        <w:t>Energy</w:t>
      </w:r>
      <w:r w:rsidR="000D1A7A" w:rsidRPr="00E13E38">
        <w:rPr>
          <w:spacing w:val="24"/>
        </w:rPr>
        <w:t xml:space="preserve"> </w:t>
      </w:r>
      <w:r w:rsidR="000D1A7A" w:rsidRPr="00E13E38">
        <w:rPr>
          <w:spacing w:val="-1"/>
        </w:rPr>
        <w:t>Consumers</w:t>
      </w:r>
      <w:r w:rsidR="000D1A7A" w:rsidRPr="00E13E38">
        <w:rPr>
          <w:spacing w:val="24"/>
        </w:rPr>
        <w:t xml:space="preserve"> </w:t>
      </w:r>
      <w:r w:rsidR="000D1A7A">
        <w:t>(TIEC),</w:t>
      </w:r>
      <w:r w:rsidR="000D1A7A" w:rsidRPr="00E13E38">
        <w:rPr>
          <w:spacing w:val="24"/>
        </w:rPr>
        <w:t xml:space="preserve"> </w:t>
      </w:r>
      <w:r w:rsidR="000D1A7A">
        <w:t>the</w:t>
      </w:r>
      <w:r w:rsidR="000D1A7A" w:rsidRPr="00E13E38">
        <w:rPr>
          <w:spacing w:val="24"/>
        </w:rPr>
        <w:t xml:space="preserve"> </w:t>
      </w:r>
      <w:r w:rsidR="000D1A7A">
        <w:t>Office</w:t>
      </w:r>
      <w:r w:rsidR="000D1A7A" w:rsidRPr="00E13E38">
        <w:rPr>
          <w:spacing w:val="24"/>
        </w:rPr>
        <w:t xml:space="preserve"> </w:t>
      </w:r>
      <w:r w:rsidR="000D1A7A">
        <w:t>of</w:t>
      </w:r>
      <w:r w:rsidR="000D1A7A" w:rsidRPr="00E13E38">
        <w:rPr>
          <w:spacing w:val="24"/>
        </w:rPr>
        <w:t xml:space="preserve"> </w:t>
      </w:r>
      <w:r w:rsidR="000D1A7A" w:rsidRPr="00E13E38">
        <w:rPr>
          <w:spacing w:val="-1"/>
        </w:rPr>
        <w:t>Public</w:t>
      </w:r>
      <w:r w:rsidR="000D1A7A" w:rsidRPr="00E13E38">
        <w:rPr>
          <w:spacing w:val="24"/>
        </w:rPr>
        <w:t xml:space="preserve"> </w:t>
      </w:r>
      <w:r w:rsidR="000D1A7A" w:rsidRPr="00E13E38">
        <w:rPr>
          <w:spacing w:val="-1"/>
        </w:rPr>
        <w:t>Utility</w:t>
      </w:r>
      <w:r w:rsidR="000D1A7A" w:rsidRPr="00E13E38">
        <w:rPr>
          <w:spacing w:val="24"/>
        </w:rPr>
        <w:t xml:space="preserve"> </w:t>
      </w:r>
      <w:r w:rsidR="000D1A7A" w:rsidRPr="00E13E38">
        <w:rPr>
          <w:spacing w:val="-1"/>
        </w:rPr>
        <w:t>Counsel</w:t>
      </w:r>
      <w:r w:rsidR="000D1A7A" w:rsidRPr="00E13E38">
        <w:rPr>
          <w:spacing w:val="24"/>
        </w:rPr>
        <w:t xml:space="preserve"> </w:t>
      </w:r>
      <w:r w:rsidR="000D1A7A" w:rsidRPr="00E13E38">
        <w:rPr>
          <w:spacing w:val="-1"/>
        </w:rPr>
        <w:t>(OPUC),</w:t>
      </w:r>
      <w:r w:rsidR="004C276B">
        <w:t xml:space="preserve"> and</w:t>
      </w:r>
      <w:r w:rsidR="000D1A7A" w:rsidRPr="00E13E38">
        <w:rPr>
          <w:spacing w:val="23"/>
        </w:rPr>
        <w:t xml:space="preserve"> </w:t>
      </w:r>
      <w:r w:rsidR="000D1A7A" w:rsidRPr="00E13E38">
        <w:rPr>
          <w:spacing w:val="-1"/>
        </w:rPr>
        <w:t>the</w:t>
      </w:r>
      <w:r w:rsidR="000D1A7A" w:rsidRPr="00E13E38">
        <w:rPr>
          <w:spacing w:val="23"/>
        </w:rPr>
        <w:t xml:space="preserve"> </w:t>
      </w:r>
      <w:r w:rsidR="000D1A7A" w:rsidRPr="00E13E38">
        <w:rPr>
          <w:spacing w:val="-1"/>
        </w:rPr>
        <w:t>Cities</w:t>
      </w:r>
      <w:r w:rsidR="000D1A7A" w:rsidRPr="00E13E38">
        <w:rPr>
          <w:spacing w:val="23"/>
        </w:rPr>
        <w:t xml:space="preserve"> </w:t>
      </w:r>
      <w:r w:rsidR="000D1A7A" w:rsidRPr="00E13E38">
        <w:rPr>
          <w:spacing w:val="-1"/>
        </w:rPr>
        <w:t>of</w:t>
      </w:r>
      <w:r w:rsidR="000D1A7A" w:rsidRPr="00E13E38">
        <w:rPr>
          <w:spacing w:val="56"/>
        </w:rPr>
        <w:t xml:space="preserve"> </w:t>
      </w:r>
      <w:r w:rsidR="000D1A7A">
        <w:t>Anahuac,</w:t>
      </w:r>
      <w:r w:rsidR="000D1A7A" w:rsidRPr="00E13E38">
        <w:rPr>
          <w:spacing w:val="42"/>
        </w:rPr>
        <w:t xml:space="preserve"> </w:t>
      </w:r>
      <w:r w:rsidR="000D1A7A" w:rsidRPr="00E13E38">
        <w:rPr>
          <w:spacing w:val="-1"/>
        </w:rPr>
        <w:t>Beaumont,</w:t>
      </w:r>
      <w:r w:rsidR="000D1A7A" w:rsidRPr="00E13E38">
        <w:rPr>
          <w:spacing w:val="44"/>
        </w:rPr>
        <w:t xml:space="preserve"> </w:t>
      </w:r>
      <w:r w:rsidR="000D1A7A">
        <w:t>Bridge</w:t>
      </w:r>
      <w:r w:rsidR="000D1A7A" w:rsidRPr="00E13E38">
        <w:rPr>
          <w:spacing w:val="43"/>
        </w:rPr>
        <w:t xml:space="preserve"> </w:t>
      </w:r>
      <w:r w:rsidR="000D1A7A" w:rsidRPr="00E13E38">
        <w:rPr>
          <w:spacing w:val="-1"/>
        </w:rPr>
        <w:t>City,</w:t>
      </w:r>
      <w:r w:rsidR="000D1A7A" w:rsidRPr="00E13E38">
        <w:rPr>
          <w:spacing w:val="43"/>
        </w:rPr>
        <w:t xml:space="preserve"> </w:t>
      </w:r>
      <w:r w:rsidR="000D1A7A" w:rsidRPr="00E13E38">
        <w:rPr>
          <w:spacing w:val="-1"/>
        </w:rPr>
        <w:t>Cleveland,</w:t>
      </w:r>
      <w:r w:rsidR="002D37F1">
        <w:rPr>
          <w:spacing w:val="-1"/>
        </w:rPr>
        <w:t xml:space="preserve"> </w:t>
      </w:r>
      <w:r w:rsidR="000D1A7A" w:rsidRPr="00E13E38">
        <w:rPr>
          <w:spacing w:val="-1"/>
        </w:rPr>
        <w:t>Dayton,</w:t>
      </w:r>
      <w:r w:rsidR="000D1A7A" w:rsidRPr="00E13E38">
        <w:rPr>
          <w:spacing w:val="41"/>
        </w:rPr>
        <w:t xml:space="preserve"> </w:t>
      </w:r>
      <w:r w:rsidR="000D1A7A" w:rsidRPr="00E13E38">
        <w:rPr>
          <w:spacing w:val="-1"/>
        </w:rPr>
        <w:t>Groves,</w:t>
      </w:r>
      <w:r w:rsidR="000D1A7A" w:rsidRPr="00E13E38">
        <w:rPr>
          <w:spacing w:val="43"/>
        </w:rPr>
        <w:t xml:space="preserve"> </w:t>
      </w:r>
      <w:r w:rsidR="000D1A7A">
        <w:t>Houston,</w:t>
      </w:r>
      <w:r w:rsidR="000D1A7A" w:rsidRPr="00E13E38">
        <w:rPr>
          <w:spacing w:val="35"/>
        </w:rPr>
        <w:t xml:space="preserve"> </w:t>
      </w:r>
      <w:r w:rsidR="000D1A7A">
        <w:t>Huntsville,</w:t>
      </w:r>
      <w:r w:rsidR="000D1A7A" w:rsidRPr="00E13E38">
        <w:rPr>
          <w:spacing w:val="13"/>
        </w:rPr>
        <w:t xml:space="preserve"> </w:t>
      </w:r>
      <w:r w:rsidR="000D1A7A" w:rsidRPr="00E13E38">
        <w:rPr>
          <w:spacing w:val="-1"/>
        </w:rPr>
        <w:t>Liberty,</w:t>
      </w:r>
      <w:r w:rsidR="000D1A7A" w:rsidRPr="00E13E38">
        <w:rPr>
          <w:spacing w:val="13"/>
        </w:rPr>
        <w:t xml:space="preserve"> </w:t>
      </w:r>
      <w:r w:rsidR="000D1A7A" w:rsidRPr="00E13E38">
        <w:rPr>
          <w:spacing w:val="-1"/>
        </w:rPr>
        <w:t>Montgomery,</w:t>
      </w:r>
      <w:r w:rsidR="000D1A7A" w:rsidRPr="00E13E38">
        <w:rPr>
          <w:spacing w:val="13"/>
        </w:rPr>
        <w:t xml:space="preserve"> </w:t>
      </w:r>
      <w:r w:rsidR="000D1A7A">
        <w:t>Navasota,</w:t>
      </w:r>
      <w:r w:rsidR="000D1A7A" w:rsidRPr="00E13E38">
        <w:rPr>
          <w:spacing w:val="13"/>
        </w:rPr>
        <w:t xml:space="preserve"> </w:t>
      </w:r>
      <w:r w:rsidR="000D1A7A">
        <w:t>Nederland,</w:t>
      </w:r>
      <w:r w:rsidR="000D1A7A" w:rsidRPr="00E13E38">
        <w:rPr>
          <w:spacing w:val="12"/>
        </w:rPr>
        <w:t xml:space="preserve"> </w:t>
      </w:r>
      <w:r w:rsidR="000D1A7A">
        <w:t>Oak</w:t>
      </w:r>
      <w:r w:rsidR="000D1A7A" w:rsidRPr="00E13E38">
        <w:rPr>
          <w:spacing w:val="13"/>
        </w:rPr>
        <w:t xml:space="preserve"> </w:t>
      </w:r>
      <w:r w:rsidR="000D1A7A">
        <w:t>Ridge</w:t>
      </w:r>
      <w:r w:rsidR="000D1A7A" w:rsidRPr="00E13E38">
        <w:rPr>
          <w:spacing w:val="12"/>
        </w:rPr>
        <w:t xml:space="preserve"> </w:t>
      </w:r>
      <w:r w:rsidR="000D1A7A" w:rsidRPr="00E13E38">
        <w:rPr>
          <w:spacing w:val="-1"/>
        </w:rPr>
        <w:t>North,</w:t>
      </w:r>
      <w:r w:rsidR="000D1A7A" w:rsidRPr="00E13E38">
        <w:rPr>
          <w:spacing w:val="13"/>
        </w:rPr>
        <w:t xml:space="preserve"> </w:t>
      </w:r>
      <w:r w:rsidR="000D1A7A">
        <w:t>Orange,</w:t>
      </w:r>
      <w:r w:rsidR="002D37F1">
        <w:t xml:space="preserve"> Pine Forest,</w:t>
      </w:r>
      <w:r w:rsidR="000D1A7A" w:rsidRPr="00E13E38">
        <w:rPr>
          <w:spacing w:val="43"/>
        </w:rPr>
        <w:t xml:space="preserve"> </w:t>
      </w:r>
      <w:r w:rsidR="000D1A7A">
        <w:t>Pinehurst,</w:t>
      </w:r>
      <w:r w:rsidR="000D1A7A" w:rsidRPr="00E13E38">
        <w:rPr>
          <w:spacing w:val="13"/>
        </w:rPr>
        <w:t xml:space="preserve"> </w:t>
      </w:r>
      <w:r w:rsidR="000D1A7A" w:rsidRPr="00E13E38">
        <w:rPr>
          <w:spacing w:val="-1"/>
        </w:rPr>
        <w:t>Port</w:t>
      </w:r>
      <w:r w:rsidR="000D1A7A" w:rsidRPr="00E13E38">
        <w:rPr>
          <w:spacing w:val="13"/>
        </w:rPr>
        <w:t xml:space="preserve"> </w:t>
      </w:r>
      <w:r w:rsidR="000D1A7A" w:rsidRPr="00E13E38">
        <w:rPr>
          <w:spacing w:val="-1"/>
        </w:rPr>
        <w:t>Arthur,</w:t>
      </w:r>
      <w:r w:rsidR="000D1A7A" w:rsidRPr="00E13E38">
        <w:rPr>
          <w:spacing w:val="12"/>
        </w:rPr>
        <w:t xml:space="preserve"> </w:t>
      </w:r>
      <w:r w:rsidR="000D1A7A">
        <w:t>Port</w:t>
      </w:r>
      <w:r w:rsidR="000D1A7A" w:rsidRPr="00E13E38">
        <w:rPr>
          <w:spacing w:val="13"/>
        </w:rPr>
        <w:t xml:space="preserve"> </w:t>
      </w:r>
      <w:r w:rsidR="000D1A7A" w:rsidRPr="00E13E38">
        <w:rPr>
          <w:spacing w:val="-1"/>
        </w:rPr>
        <w:t>Neches,</w:t>
      </w:r>
      <w:r w:rsidR="000D1A7A" w:rsidRPr="00E13E38">
        <w:rPr>
          <w:spacing w:val="13"/>
        </w:rPr>
        <w:t xml:space="preserve"> </w:t>
      </w:r>
      <w:r w:rsidR="000D1A7A" w:rsidRPr="00E13E38">
        <w:rPr>
          <w:spacing w:val="-1"/>
        </w:rPr>
        <w:t>Roman</w:t>
      </w:r>
      <w:r w:rsidR="000D1A7A" w:rsidRPr="00E13E38">
        <w:rPr>
          <w:spacing w:val="13"/>
        </w:rPr>
        <w:t xml:space="preserve"> </w:t>
      </w:r>
      <w:r w:rsidR="000D1A7A">
        <w:t>Forest,</w:t>
      </w:r>
      <w:r w:rsidR="000D1A7A" w:rsidRPr="00E13E38">
        <w:rPr>
          <w:spacing w:val="13"/>
        </w:rPr>
        <w:t xml:space="preserve"> </w:t>
      </w:r>
      <w:r w:rsidR="00B3678C">
        <w:rPr>
          <w:spacing w:val="13"/>
        </w:rPr>
        <w:t xml:space="preserve">Rose City, </w:t>
      </w:r>
      <w:r w:rsidR="000D1A7A">
        <w:t>Shenandoah,</w:t>
      </w:r>
      <w:r w:rsidR="000D1A7A" w:rsidRPr="00E13E38">
        <w:rPr>
          <w:spacing w:val="13"/>
        </w:rPr>
        <w:t xml:space="preserve"> </w:t>
      </w:r>
      <w:r w:rsidR="002D37F1">
        <w:t>Silsbee</w:t>
      </w:r>
      <w:r w:rsidR="000D1A7A">
        <w:t>,</w:t>
      </w:r>
      <w:r w:rsidR="000D1A7A" w:rsidRPr="00E13E38">
        <w:rPr>
          <w:spacing w:val="13"/>
        </w:rPr>
        <w:t xml:space="preserve"> </w:t>
      </w:r>
      <w:r w:rsidR="000D1A7A" w:rsidRPr="00E13E38">
        <w:rPr>
          <w:spacing w:val="-1"/>
        </w:rPr>
        <w:t>Sour</w:t>
      </w:r>
      <w:r w:rsidR="000D1A7A" w:rsidRPr="00E13E38">
        <w:rPr>
          <w:spacing w:val="13"/>
        </w:rPr>
        <w:t xml:space="preserve"> </w:t>
      </w:r>
      <w:r w:rsidR="000D1A7A" w:rsidRPr="00E13E38">
        <w:rPr>
          <w:spacing w:val="-1"/>
        </w:rPr>
        <w:t>Lake,</w:t>
      </w:r>
      <w:r w:rsidR="000D1A7A" w:rsidRPr="00E13E38">
        <w:rPr>
          <w:spacing w:val="49"/>
        </w:rPr>
        <w:t xml:space="preserve"> </w:t>
      </w:r>
      <w:r w:rsidR="002D37F1">
        <w:t xml:space="preserve">Splendora, </w:t>
      </w:r>
      <w:r w:rsidR="000D1A7A">
        <w:t>Vidor, West Orange</w:t>
      </w:r>
      <w:r w:rsidR="002D37F1">
        <w:t>, and Willis</w:t>
      </w:r>
      <w:r w:rsidR="000D1A7A">
        <w:t xml:space="preserve"> (collectively, </w:t>
      </w:r>
      <w:r w:rsidR="00203DB8">
        <w:t>“</w:t>
      </w:r>
      <w:r w:rsidR="000D1A7A">
        <w:t>Cities</w:t>
      </w:r>
      <w:r w:rsidR="00203DB8">
        <w:t>”</w:t>
      </w:r>
      <w:r w:rsidR="000D1A7A">
        <w:t>).</w:t>
      </w:r>
    </w:p>
    <w:p w14:paraId="12DF54BA" w14:textId="6F74AF37" w:rsidR="000D1A7A" w:rsidRDefault="000D1A7A" w:rsidP="002F0762">
      <w:pPr>
        <w:pStyle w:val="BodyText"/>
        <w:numPr>
          <w:ilvl w:val="0"/>
          <w:numId w:val="8"/>
        </w:numPr>
        <w:tabs>
          <w:tab w:val="left" w:pos="820"/>
        </w:tabs>
        <w:spacing w:line="360" w:lineRule="auto"/>
        <w:ind w:left="540" w:hanging="540"/>
        <w:jc w:val="both"/>
      </w:pPr>
      <w:r>
        <w:t xml:space="preserve">ETI agreed to extend the </w:t>
      </w:r>
      <w:r>
        <w:rPr>
          <w:spacing w:val="-1"/>
        </w:rPr>
        <w:t>statutory</w:t>
      </w:r>
      <w:r>
        <w:t xml:space="preserve"> deadline in this proceeding</w:t>
      </w:r>
      <w:r>
        <w:rPr>
          <w:spacing w:val="-1"/>
        </w:rPr>
        <w:t xml:space="preserve"> </w:t>
      </w:r>
      <w:r>
        <w:t xml:space="preserve">to allow </w:t>
      </w:r>
      <w:r>
        <w:rPr>
          <w:spacing w:val="-1"/>
        </w:rPr>
        <w:t>sufficient</w:t>
      </w:r>
      <w:r>
        <w:t xml:space="preserve"> </w:t>
      </w:r>
      <w:r>
        <w:rPr>
          <w:spacing w:val="-1"/>
        </w:rPr>
        <w:t>time</w:t>
      </w:r>
      <w:r>
        <w:rPr>
          <w:spacing w:val="2"/>
        </w:rPr>
        <w:t xml:space="preserve"> </w:t>
      </w:r>
      <w:r>
        <w:rPr>
          <w:spacing w:val="-1"/>
        </w:rPr>
        <w:t>for</w:t>
      </w:r>
      <w:r>
        <w:rPr>
          <w:spacing w:val="37"/>
        </w:rPr>
        <w:t xml:space="preserve"> </w:t>
      </w:r>
      <w:r>
        <w:t xml:space="preserve">a final </w:t>
      </w:r>
      <w:r>
        <w:rPr>
          <w:spacing w:val="-1"/>
        </w:rPr>
        <w:t>Commission</w:t>
      </w:r>
      <w:r>
        <w:t xml:space="preserve"> </w:t>
      </w:r>
      <w:r>
        <w:rPr>
          <w:spacing w:val="-1"/>
        </w:rPr>
        <w:t>determination.</w:t>
      </w:r>
      <w:r>
        <w:t xml:space="preserve"> </w:t>
      </w:r>
      <w:r w:rsidR="002D37F1">
        <w:t>The July 29, 2022</w:t>
      </w:r>
      <w:r w:rsidR="00E12DAA">
        <w:t>,</w:t>
      </w:r>
      <w:r w:rsidR="002D37F1">
        <w:t xml:space="preserve"> </w:t>
      </w:r>
      <w:r>
        <w:t xml:space="preserve">SOAH Order </w:t>
      </w:r>
      <w:r>
        <w:rPr>
          <w:spacing w:val="-1"/>
        </w:rPr>
        <w:t>implements</w:t>
      </w:r>
      <w:r>
        <w:rPr>
          <w:spacing w:val="1"/>
        </w:rPr>
        <w:t xml:space="preserve"> </w:t>
      </w:r>
      <w:r>
        <w:t xml:space="preserve">ETI’s </w:t>
      </w:r>
      <w:r>
        <w:rPr>
          <w:spacing w:val="-1"/>
        </w:rPr>
        <w:t>agreement</w:t>
      </w:r>
      <w:r>
        <w:t xml:space="preserve"> and</w:t>
      </w:r>
      <w:r w:rsidR="004E7347">
        <w:t xml:space="preserve"> </w:t>
      </w:r>
      <w:r>
        <w:t xml:space="preserve">establishes the statutory </w:t>
      </w:r>
      <w:r>
        <w:rPr>
          <w:spacing w:val="-1"/>
        </w:rPr>
        <w:t>deadline,</w:t>
      </w:r>
      <w:r>
        <w:t xml:space="preserve"> which is </w:t>
      </w:r>
      <w:r w:rsidR="002D37F1">
        <w:t>May 25, 2023</w:t>
      </w:r>
      <w:r>
        <w:t>.</w:t>
      </w:r>
    </w:p>
    <w:p w14:paraId="1CC20D62" w14:textId="74D8FC90" w:rsidR="000D1A7A" w:rsidRPr="004201D9" w:rsidRDefault="000D1A7A" w:rsidP="002F0762">
      <w:pPr>
        <w:pStyle w:val="BodyText"/>
        <w:numPr>
          <w:ilvl w:val="0"/>
          <w:numId w:val="8"/>
        </w:numPr>
        <w:tabs>
          <w:tab w:val="left" w:pos="820"/>
        </w:tabs>
        <w:spacing w:line="360" w:lineRule="auto"/>
        <w:ind w:left="540" w:hanging="540"/>
        <w:jc w:val="both"/>
      </w:pPr>
      <w:r>
        <w:rPr>
          <w:spacing w:val="-1"/>
        </w:rPr>
        <w:t>On</w:t>
      </w:r>
      <w:r>
        <w:rPr>
          <w:spacing w:val="5"/>
        </w:rPr>
        <w:t xml:space="preserve"> </w:t>
      </w:r>
      <w:r w:rsidR="00235597">
        <w:rPr>
          <w:spacing w:val="-1"/>
        </w:rPr>
        <w:t>August 4, 2022</w:t>
      </w:r>
      <w:r>
        <w:rPr>
          <w:spacing w:val="-1"/>
        </w:rPr>
        <w:t>,</w:t>
      </w:r>
      <w:r>
        <w:rPr>
          <w:spacing w:val="5"/>
        </w:rPr>
        <w:t xml:space="preserve"> </w:t>
      </w:r>
      <w:r>
        <w:rPr>
          <w:spacing w:val="-1"/>
        </w:rPr>
        <w:t>the</w:t>
      </w:r>
      <w:r>
        <w:rPr>
          <w:spacing w:val="5"/>
        </w:rPr>
        <w:t xml:space="preserve"> </w:t>
      </w:r>
      <w:r>
        <w:rPr>
          <w:spacing w:val="-1"/>
        </w:rPr>
        <w:t>Commission</w:t>
      </w:r>
      <w:r>
        <w:rPr>
          <w:spacing w:val="5"/>
        </w:rPr>
        <w:t xml:space="preserve"> </w:t>
      </w:r>
      <w:r>
        <w:t>issued</w:t>
      </w:r>
      <w:r>
        <w:rPr>
          <w:spacing w:val="6"/>
        </w:rPr>
        <w:t xml:space="preserve"> </w:t>
      </w:r>
      <w:r w:rsidR="00934474">
        <w:t>its</w:t>
      </w:r>
      <w:r>
        <w:rPr>
          <w:spacing w:val="5"/>
        </w:rPr>
        <w:t xml:space="preserve"> </w:t>
      </w:r>
      <w:r w:rsidR="00934474">
        <w:rPr>
          <w:spacing w:val="-1"/>
        </w:rPr>
        <w:t>P</w:t>
      </w:r>
      <w:r>
        <w:rPr>
          <w:spacing w:val="-1"/>
        </w:rPr>
        <w:t>reliminary</w:t>
      </w:r>
      <w:r>
        <w:rPr>
          <w:spacing w:val="6"/>
        </w:rPr>
        <w:t xml:space="preserve"> </w:t>
      </w:r>
      <w:r w:rsidR="00934474">
        <w:rPr>
          <w:spacing w:val="6"/>
        </w:rPr>
        <w:t>O</w:t>
      </w:r>
      <w:r>
        <w:t>rder,</w:t>
      </w:r>
      <w:r>
        <w:rPr>
          <w:spacing w:val="6"/>
        </w:rPr>
        <w:t xml:space="preserve"> </w:t>
      </w:r>
      <w:r>
        <w:rPr>
          <w:spacing w:val="-1"/>
        </w:rPr>
        <w:t>identifying</w:t>
      </w:r>
      <w:r>
        <w:rPr>
          <w:spacing w:val="5"/>
        </w:rPr>
        <w:t xml:space="preserve"> </w:t>
      </w:r>
      <w:r>
        <w:t>a</w:t>
      </w:r>
      <w:r>
        <w:rPr>
          <w:spacing w:val="4"/>
        </w:rPr>
        <w:t xml:space="preserve"> </w:t>
      </w:r>
      <w:r>
        <w:rPr>
          <w:spacing w:val="-1"/>
        </w:rPr>
        <w:t>non-</w:t>
      </w:r>
      <w:r>
        <w:rPr>
          <w:spacing w:val="38"/>
        </w:rPr>
        <w:t xml:space="preserve"> </w:t>
      </w:r>
      <w:r>
        <w:t xml:space="preserve">exhaustive list of </w:t>
      </w:r>
      <w:r w:rsidR="00235597">
        <w:t>81</w:t>
      </w:r>
      <w:r>
        <w:t xml:space="preserve"> </w:t>
      </w:r>
      <w:r>
        <w:rPr>
          <w:spacing w:val="-1"/>
        </w:rPr>
        <w:t>issues</w:t>
      </w:r>
      <w:r>
        <w:t xml:space="preserve"> to be </w:t>
      </w:r>
      <w:r>
        <w:rPr>
          <w:spacing w:val="-1"/>
        </w:rPr>
        <w:t>addressed</w:t>
      </w:r>
      <w:r>
        <w:t xml:space="preserve"> in</w:t>
      </w:r>
      <w:r>
        <w:rPr>
          <w:spacing w:val="-2"/>
        </w:rPr>
        <w:t xml:space="preserve"> </w:t>
      </w:r>
      <w:r>
        <w:t xml:space="preserve">this </w:t>
      </w:r>
      <w:r>
        <w:rPr>
          <w:spacing w:val="-1"/>
        </w:rPr>
        <w:t>proceeding.</w:t>
      </w:r>
    </w:p>
    <w:p w14:paraId="28866AC8" w14:textId="7E2F28F8" w:rsidR="004201D9" w:rsidRPr="003E471C" w:rsidRDefault="004201D9" w:rsidP="002F0762">
      <w:pPr>
        <w:pStyle w:val="BodyText"/>
        <w:numPr>
          <w:ilvl w:val="0"/>
          <w:numId w:val="8"/>
        </w:numPr>
        <w:tabs>
          <w:tab w:val="left" w:pos="820"/>
        </w:tabs>
        <w:spacing w:line="360" w:lineRule="auto"/>
        <w:ind w:left="540" w:hanging="540"/>
        <w:jc w:val="both"/>
      </w:pPr>
      <w:r>
        <w:rPr>
          <w:spacing w:val="-1"/>
        </w:rPr>
        <w:t>On August 12, 2022, ETI filed its 45-day update to t</w:t>
      </w:r>
      <w:r w:rsidR="00873944">
        <w:rPr>
          <w:spacing w:val="-1"/>
        </w:rPr>
        <w:t>he schedules in the rate filing package.</w:t>
      </w:r>
    </w:p>
    <w:p w14:paraId="7E194B96" w14:textId="5C3A4073" w:rsidR="003E471C" w:rsidRPr="00235597" w:rsidRDefault="003E471C" w:rsidP="002F0762">
      <w:pPr>
        <w:pStyle w:val="BodyText"/>
        <w:numPr>
          <w:ilvl w:val="0"/>
          <w:numId w:val="8"/>
        </w:numPr>
        <w:tabs>
          <w:tab w:val="left" w:pos="820"/>
        </w:tabs>
        <w:spacing w:line="360" w:lineRule="auto"/>
        <w:ind w:left="540" w:hanging="540"/>
        <w:jc w:val="both"/>
      </w:pPr>
      <w:r>
        <w:t>On August 15, 2022, ETI filed the highly sensitive portion of its 45-day update to the schedules in the rate filing package.</w:t>
      </w:r>
    </w:p>
    <w:p w14:paraId="48C2071A" w14:textId="4C1A3B02" w:rsidR="00235597" w:rsidRDefault="00235597" w:rsidP="002F0762">
      <w:pPr>
        <w:pStyle w:val="BodyText"/>
        <w:numPr>
          <w:ilvl w:val="0"/>
          <w:numId w:val="8"/>
        </w:numPr>
        <w:tabs>
          <w:tab w:val="left" w:pos="820"/>
        </w:tabs>
        <w:spacing w:line="360" w:lineRule="auto"/>
        <w:ind w:left="540" w:hanging="540"/>
        <w:jc w:val="both"/>
      </w:pPr>
      <w:r>
        <w:t xml:space="preserve">On August 19, 2022, the SOAH ALJs issued SOAH Order No. 3, granting the interventions of The Kroger Co., the United States Department of Energy on behalf of itself and all other </w:t>
      </w:r>
      <w:r>
        <w:lastRenderedPageBreak/>
        <w:t xml:space="preserve">affected Federal Executive Agencies, Walmart, Inc., Flash Parking, Inc., and Sierra Club and </w:t>
      </w:r>
      <w:r>
        <w:rPr>
          <w:spacing w:val="-1"/>
        </w:rPr>
        <w:t>consolidating the review of</w:t>
      </w:r>
      <w:r>
        <w:rPr>
          <w:spacing w:val="34"/>
        </w:rPr>
        <w:t xml:space="preserve"> </w:t>
      </w:r>
      <w:r>
        <w:t>the</w:t>
      </w:r>
      <w:r>
        <w:rPr>
          <w:spacing w:val="4"/>
        </w:rPr>
        <w:t xml:space="preserve"> </w:t>
      </w:r>
      <w:r>
        <w:rPr>
          <w:spacing w:val="-1"/>
        </w:rPr>
        <w:t>municipal</w:t>
      </w:r>
      <w:r>
        <w:rPr>
          <w:spacing w:val="4"/>
        </w:rPr>
        <w:t xml:space="preserve"> </w:t>
      </w:r>
      <w:r>
        <w:rPr>
          <w:spacing w:val="-1"/>
        </w:rPr>
        <w:t>ordinances</w:t>
      </w:r>
      <w:r>
        <w:rPr>
          <w:spacing w:val="4"/>
        </w:rPr>
        <w:t xml:space="preserve"> </w:t>
      </w:r>
      <w:r>
        <w:t>adopted</w:t>
      </w:r>
      <w:r>
        <w:rPr>
          <w:spacing w:val="4"/>
        </w:rPr>
        <w:t xml:space="preserve"> </w:t>
      </w:r>
      <w:r>
        <w:t>by</w:t>
      </w:r>
      <w:r>
        <w:rPr>
          <w:spacing w:val="3"/>
        </w:rPr>
        <w:t xml:space="preserve"> </w:t>
      </w:r>
      <w:r>
        <w:t>the Cities/Towns of Hearne, Patton Village, Daisetta, Madisonville, Bedias, Kosse, New Waverly, Somerville, Iola, Anderson, Todd Mission, Trinity, Franklin, Ames, Caldwell, Colmesneil, Bremond, Taylor Landing, Midway, Groveton, Woodbranch Village, Calvert, Woodloch, Nome, Riverside, Woodville, and Lumberton.</w:t>
      </w:r>
    </w:p>
    <w:p w14:paraId="11B52567" w14:textId="3C2D72E3" w:rsidR="000D1A7A" w:rsidRPr="00AD44FB" w:rsidRDefault="00AD44FB" w:rsidP="002F0762">
      <w:pPr>
        <w:pStyle w:val="BodyText"/>
        <w:numPr>
          <w:ilvl w:val="0"/>
          <w:numId w:val="8"/>
        </w:numPr>
        <w:tabs>
          <w:tab w:val="left" w:pos="820"/>
        </w:tabs>
        <w:spacing w:line="360" w:lineRule="auto"/>
        <w:ind w:left="540" w:hanging="540"/>
        <w:jc w:val="both"/>
      </w:pPr>
      <w:r>
        <w:t xml:space="preserve">On September 7, 2022, the </w:t>
      </w:r>
      <w:r w:rsidR="003218DA">
        <w:t xml:space="preserve">SOAH </w:t>
      </w:r>
      <w:r>
        <w:t xml:space="preserve">ALJs issued </w:t>
      </w:r>
      <w:r w:rsidR="000D1A7A">
        <w:t>SOAH</w:t>
      </w:r>
      <w:r w:rsidR="000D1A7A">
        <w:rPr>
          <w:spacing w:val="39"/>
        </w:rPr>
        <w:t xml:space="preserve"> </w:t>
      </w:r>
      <w:r w:rsidR="000D1A7A">
        <w:rPr>
          <w:spacing w:val="-1"/>
        </w:rPr>
        <w:t>Order</w:t>
      </w:r>
      <w:r w:rsidR="000D1A7A">
        <w:rPr>
          <w:spacing w:val="39"/>
        </w:rPr>
        <w:t xml:space="preserve"> </w:t>
      </w:r>
      <w:r w:rsidR="000D1A7A">
        <w:rPr>
          <w:spacing w:val="-1"/>
        </w:rPr>
        <w:t>No.</w:t>
      </w:r>
      <w:r w:rsidR="000D1A7A">
        <w:rPr>
          <w:spacing w:val="39"/>
        </w:rPr>
        <w:t xml:space="preserve"> </w:t>
      </w:r>
      <w:r>
        <w:t xml:space="preserve">4 consolidating the </w:t>
      </w:r>
      <w:r>
        <w:rPr>
          <w:spacing w:val="-1"/>
        </w:rPr>
        <w:t>review of</w:t>
      </w:r>
      <w:r>
        <w:rPr>
          <w:spacing w:val="34"/>
        </w:rPr>
        <w:t xml:space="preserve"> </w:t>
      </w:r>
      <w:r>
        <w:t>the</w:t>
      </w:r>
      <w:r>
        <w:rPr>
          <w:spacing w:val="4"/>
        </w:rPr>
        <w:t xml:space="preserve"> </w:t>
      </w:r>
      <w:r>
        <w:rPr>
          <w:spacing w:val="-1"/>
        </w:rPr>
        <w:t>municipal</w:t>
      </w:r>
      <w:r>
        <w:rPr>
          <w:spacing w:val="4"/>
        </w:rPr>
        <w:t xml:space="preserve"> </w:t>
      </w:r>
      <w:r>
        <w:rPr>
          <w:spacing w:val="-1"/>
        </w:rPr>
        <w:t>ordinances</w:t>
      </w:r>
      <w:r>
        <w:rPr>
          <w:spacing w:val="4"/>
        </w:rPr>
        <w:t xml:space="preserve"> </w:t>
      </w:r>
      <w:r>
        <w:t>adopted</w:t>
      </w:r>
      <w:r>
        <w:rPr>
          <w:spacing w:val="4"/>
        </w:rPr>
        <w:t xml:space="preserve"> </w:t>
      </w:r>
      <w:r>
        <w:t>by</w:t>
      </w:r>
      <w:r>
        <w:rPr>
          <w:spacing w:val="3"/>
        </w:rPr>
        <w:t xml:space="preserve"> </w:t>
      </w:r>
      <w:r>
        <w:t xml:space="preserve">the Cities/Towns of Kountze, Cleveland, Normangee, Plum Grove, Hardin, Devers, North Cleveland, Plantersville, and China </w:t>
      </w:r>
      <w:r w:rsidRPr="00F6306F">
        <w:t>and denying Southwestern Public Service Company</w:t>
      </w:r>
      <w:r w:rsidR="00F6306F" w:rsidRPr="00F6306F">
        <w:t>’s</w:t>
      </w:r>
      <w:r w:rsidR="00FD1093" w:rsidRPr="00F6306F">
        <w:t xml:space="preserve"> (SPS)</w:t>
      </w:r>
      <w:r w:rsidR="00F6306F" w:rsidRPr="00F6306F">
        <w:t xml:space="preserve"> motion to intervene</w:t>
      </w:r>
      <w:r w:rsidRPr="00F6306F">
        <w:t>.</w:t>
      </w:r>
      <w:r>
        <w:t xml:space="preserve"> </w:t>
      </w:r>
    </w:p>
    <w:p w14:paraId="3C4EA26A" w14:textId="104ABBC0" w:rsidR="00AD44FB" w:rsidRPr="00873944" w:rsidRDefault="00FD1093" w:rsidP="002F0762">
      <w:pPr>
        <w:pStyle w:val="BodyText"/>
        <w:numPr>
          <w:ilvl w:val="0"/>
          <w:numId w:val="8"/>
        </w:numPr>
        <w:tabs>
          <w:tab w:val="left" w:pos="820"/>
        </w:tabs>
        <w:spacing w:line="360" w:lineRule="auto"/>
        <w:ind w:left="540" w:hanging="540"/>
        <w:jc w:val="both"/>
      </w:pPr>
      <w:r>
        <w:rPr>
          <w:spacing w:val="-1"/>
        </w:rPr>
        <w:t>On September 16, 2022, SPS appealed SOAH Order No. 4.</w:t>
      </w:r>
    </w:p>
    <w:p w14:paraId="1E117D5C" w14:textId="6280FFA6" w:rsidR="00873944" w:rsidRPr="003F7944" w:rsidRDefault="00873944" w:rsidP="002F0762">
      <w:pPr>
        <w:pStyle w:val="BodyText"/>
        <w:numPr>
          <w:ilvl w:val="0"/>
          <w:numId w:val="8"/>
        </w:numPr>
        <w:tabs>
          <w:tab w:val="left" w:pos="820"/>
        </w:tabs>
        <w:spacing w:line="360" w:lineRule="auto"/>
        <w:ind w:left="540" w:hanging="540"/>
        <w:jc w:val="both"/>
      </w:pPr>
      <w:r>
        <w:rPr>
          <w:spacing w:val="-1"/>
        </w:rPr>
        <w:t>On September 16, 2022, ETI filed Errata No. 1.</w:t>
      </w:r>
    </w:p>
    <w:p w14:paraId="4DF53E61" w14:textId="5E19B4BC" w:rsidR="003F7944" w:rsidRPr="00BE4111" w:rsidRDefault="003F7944" w:rsidP="002F0762">
      <w:pPr>
        <w:pStyle w:val="BodyText"/>
        <w:numPr>
          <w:ilvl w:val="0"/>
          <w:numId w:val="8"/>
        </w:numPr>
        <w:tabs>
          <w:tab w:val="left" w:pos="820"/>
        </w:tabs>
        <w:spacing w:line="360" w:lineRule="auto"/>
        <w:ind w:left="540" w:hanging="540"/>
        <w:jc w:val="both"/>
      </w:pPr>
      <w:r>
        <w:t>On September 19, 2022, ETI filed the highly sensitive portion of Errata No. 1.</w:t>
      </w:r>
    </w:p>
    <w:p w14:paraId="0B92F75F" w14:textId="656073E9" w:rsidR="00BE4111" w:rsidRDefault="00EB4D92" w:rsidP="002F0762">
      <w:pPr>
        <w:pStyle w:val="BodyText"/>
        <w:numPr>
          <w:ilvl w:val="0"/>
          <w:numId w:val="8"/>
        </w:numPr>
        <w:tabs>
          <w:tab w:val="left" w:pos="820"/>
        </w:tabs>
        <w:spacing w:line="360" w:lineRule="auto"/>
        <w:ind w:left="540" w:hanging="540"/>
        <w:jc w:val="both"/>
      </w:pPr>
      <w:r>
        <w:t>On September 19, 2022</w:t>
      </w:r>
      <w:r w:rsidR="000D5037">
        <w:t xml:space="preserve">, the SOAH ALJs issued SOAH Order No. 5 granting the intervention of Charge Point, Inc. and </w:t>
      </w:r>
      <w:r w:rsidR="00C85A6B">
        <w:rPr>
          <w:spacing w:val="-1"/>
        </w:rPr>
        <w:t>cons</w:t>
      </w:r>
      <w:r w:rsidR="000D5037">
        <w:rPr>
          <w:spacing w:val="-1"/>
        </w:rPr>
        <w:t>olidating the review of</w:t>
      </w:r>
      <w:r w:rsidR="000D5037">
        <w:rPr>
          <w:spacing w:val="34"/>
        </w:rPr>
        <w:t xml:space="preserve"> </w:t>
      </w:r>
      <w:r w:rsidR="000D5037">
        <w:t>the</w:t>
      </w:r>
      <w:r w:rsidR="000D5037">
        <w:rPr>
          <w:spacing w:val="4"/>
        </w:rPr>
        <w:t xml:space="preserve"> </w:t>
      </w:r>
      <w:r w:rsidR="000D5037">
        <w:rPr>
          <w:spacing w:val="-1"/>
        </w:rPr>
        <w:t>municipal</w:t>
      </w:r>
      <w:r w:rsidR="000D5037">
        <w:rPr>
          <w:spacing w:val="4"/>
        </w:rPr>
        <w:t xml:space="preserve"> </w:t>
      </w:r>
      <w:r w:rsidR="000D5037">
        <w:rPr>
          <w:spacing w:val="-1"/>
        </w:rPr>
        <w:t>ordinances</w:t>
      </w:r>
      <w:r w:rsidR="000D5037">
        <w:rPr>
          <w:spacing w:val="4"/>
        </w:rPr>
        <w:t xml:space="preserve"> </w:t>
      </w:r>
      <w:r w:rsidR="000D5037">
        <w:t>adopted</w:t>
      </w:r>
      <w:r w:rsidR="000D5037">
        <w:rPr>
          <w:spacing w:val="4"/>
        </w:rPr>
        <w:t xml:space="preserve"> </w:t>
      </w:r>
      <w:r w:rsidR="000D5037">
        <w:t>by</w:t>
      </w:r>
      <w:r w:rsidR="000D5037">
        <w:rPr>
          <w:spacing w:val="3"/>
        </w:rPr>
        <w:t xml:space="preserve"> </w:t>
      </w:r>
      <w:r w:rsidR="000D5037">
        <w:t>the Cities/Towns of Cut and Shoot, Corrigan, Bevil Oaks, and Chester.</w:t>
      </w:r>
    </w:p>
    <w:p w14:paraId="7B7FFC6B" w14:textId="3DAABB5E" w:rsidR="00D21D94" w:rsidRDefault="00C85A6B" w:rsidP="002F0762">
      <w:pPr>
        <w:pStyle w:val="BodyText"/>
        <w:numPr>
          <w:ilvl w:val="0"/>
          <w:numId w:val="8"/>
        </w:numPr>
        <w:tabs>
          <w:tab w:val="left" w:pos="820"/>
        </w:tabs>
        <w:spacing w:line="360" w:lineRule="auto"/>
        <w:ind w:left="540" w:hanging="540"/>
        <w:jc w:val="both"/>
      </w:pPr>
      <w:r>
        <w:t xml:space="preserve">On October 6, </w:t>
      </w:r>
      <w:r w:rsidR="00E12DAA">
        <w:t xml:space="preserve">2022, </w:t>
      </w:r>
      <w:r w:rsidR="00DF405F">
        <w:t>the SOAH ALJs issued SOAH Order No. 6 granting the intervention of Sempra Infrastructure Partners, L.P.</w:t>
      </w:r>
    </w:p>
    <w:p w14:paraId="2E195A00" w14:textId="4062A8ED" w:rsidR="602DB1DE" w:rsidRDefault="602DB1DE" w:rsidP="03CC5A80">
      <w:pPr>
        <w:pStyle w:val="BodyText"/>
        <w:numPr>
          <w:ilvl w:val="0"/>
          <w:numId w:val="8"/>
        </w:numPr>
        <w:tabs>
          <w:tab w:val="left" w:pos="820"/>
        </w:tabs>
        <w:spacing w:line="360" w:lineRule="auto"/>
        <w:ind w:left="540" w:hanging="540"/>
        <w:jc w:val="both"/>
      </w:pPr>
      <w:r>
        <w:t>On October 13, 2022</w:t>
      </w:r>
      <w:r w:rsidR="00AC393B">
        <w:t xml:space="preserve">, </w:t>
      </w:r>
      <w:r>
        <w:t>ETI filed the supplemental direct testimon</w:t>
      </w:r>
      <w:r w:rsidR="00BF4997">
        <w:t>y</w:t>
      </w:r>
      <w:r>
        <w:t xml:space="preserve"> of Meghan E. Griffith</w:t>
      </w:r>
      <w:r w:rsidR="00BF4997">
        <w:t>s</w:t>
      </w:r>
      <w:r>
        <w:t>.</w:t>
      </w:r>
    </w:p>
    <w:p w14:paraId="0A8DE692" w14:textId="3948F191" w:rsidR="00BF4997" w:rsidRDefault="007355D5" w:rsidP="03CC5A80">
      <w:pPr>
        <w:pStyle w:val="BodyText"/>
        <w:numPr>
          <w:ilvl w:val="0"/>
          <w:numId w:val="8"/>
        </w:numPr>
        <w:tabs>
          <w:tab w:val="left" w:pos="820"/>
        </w:tabs>
        <w:spacing w:line="360" w:lineRule="auto"/>
        <w:ind w:left="540" w:hanging="540"/>
        <w:jc w:val="both"/>
      </w:pPr>
      <w:r>
        <w:t>On October 14, 2022, ETI filed the supplemental direct testimony of Richard E. Lain.</w:t>
      </w:r>
    </w:p>
    <w:p w14:paraId="5C0E3797" w14:textId="3428D54F" w:rsidR="007D3028" w:rsidRDefault="007D3028" w:rsidP="002F0762">
      <w:pPr>
        <w:pStyle w:val="BodyText"/>
        <w:numPr>
          <w:ilvl w:val="0"/>
          <w:numId w:val="8"/>
        </w:numPr>
        <w:tabs>
          <w:tab w:val="left" w:pos="820"/>
        </w:tabs>
        <w:spacing w:line="360" w:lineRule="auto"/>
        <w:ind w:left="540" w:hanging="540"/>
        <w:jc w:val="both"/>
      </w:pPr>
      <w:r>
        <w:t>On October 19, 2022, the SOAH ALJs issued an order setting a prehearing conference to address the Commission’s relevant decisions at the October 6, 2022 open meeting, the pending motions to intervene, and the potential severance of issues relating to Preliminary Order Issues 68 and 69.</w:t>
      </w:r>
    </w:p>
    <w:p w14:paraId="7DDEF2B4" w14:textId="06181F59" w:rsidR="007D3028" w:rsidRDefault="007D3028" w:rsidP="002F0762">
      <w:pPr>
        <w:pStyle w:val="BodyText"/>
        <w:numPr>
          <w:ilvl w:val="0"/>
          <w:numId w:val="8"/>
        </w:numPr>
        <w:tabs>
          <w:tab w:val="left" w:pos="820"/>
        </w:tabs>
        <w:spacing w:line="360" w:lineRule="auto"/>
        <w:ind w:left="540" w:hanging="540"/>
        <w:jc w:val="both"/>
      </w:pPr>
      <w:r>
        <w:t>On October 20, 2022, the Commission issued an order overturning the ALJs denial of SPS’s motion to intervene.</w:t>
      </w:r>
    </w:p>
    <w:p w14:paraId="27E48151" w14:textId="4BD46B04" w:rsidR="00DF405F" w:rsidRDefault="00DF405F" w:rsidP="002F0762">
      <w:pPr>
        <w:pStyle w:val="BodyText"/>
        <w:numPr>
          <w:ilvl w:val="0"/>
          <w:numId w:val="8"/>
        </w:numPr>
        <w:tabs>
          <w:tab w:val="left" w:pos="820"/>
        </w:tabs>
        <w:spacing w:line="360" w:lineRule="auto"/>
        <w:ind w:left="540" w:hanging="540"/>
        <w:jc w:val="both"/>
      </w:pPr>
      <w:r>
        <w:t xml:space="preserve">On </w:t>
      </w:r>
      <w:r w:rsidR="00D412D5">
        <w:t xml:space="preserve">October 25, 2022, the SOAH ALJs issued Order No. 8 </w:t>
      </w:r>
      <w:r w:rsidR="007D3028">
        <w:t xml:space="preserve">granting the interventions of Americans for Affordable Clean Energy, SPS, and El Paso Electric Company </w:t>
      </w:r>
      <w:r w:rsidR="004E018A">
        <w:t xml:space="preserve">(EPE) </w:t>
      </w:r>
      <w:r w:rsidR="007D3028">
        <w:t xml:space="preserve">and </w:t>
      </w:r>
      <w:r w:rsidR="007D3028">
        <w:rPr>
          <w:spacing w:val="-1"/>
        </w:rPr>
        <w:t>consolidating the review of</w:t>
      </w:r>
      <w:r w:rsidR="007D3028">
        <w:rPr>
          <w:spacing w:val="34"/>
        </w:rPr>
        <w:t xml:space="preserve"> </w:t>
      </w:r>
      <w:r w:rsidR="007D3028">
        <w:t>the</w:t>
      </w:r>
      <w:r w:rsidR="007D3028">
        <w:rPr>
          <w:spacing w:val="4"/>
        </w:rPr>
        <w:t xml:space="preserve"> </w:t>
      </w:r>
      <w:r w:rsidR="007D3028">
        <w:rPr>
          <w:spacing w:val="-1"/>
        </w:rPr>
        <w:t>municipal</w:t>
      </w:r>
      <w:r w:rsidR="007D3028">
        <w:rPr>
          <w:spacing w:val="4"/>
        </w:rPr>
        <w:t xml:space="preserve"> </w:t>
      </w:r>
      <w:r w:rsidR="007D3028">
        <w:rPr>
          <w:spacing w:val="-1"/>
        </w:rPr>
        <w:t>ordinances</w:t>
      </w:r>
      <w:r w:rsidR="007D3028">
        <w:rPr>
          <w:spacing w:val="4"/>
        </w:rPr>
        <w:t xml:space="preserve"> </w:t>
      </w:r>
      <w:r w:rsidR="007D3028">
        <w:t>adopted</w:t>
      </w:r>
      <w:r w:rsidR="007D3028">
        <w:rPr>
          <w:spacing w:val="4"/>
        </w:rPr>
        <w:t xml:space="preserve"> </w:t>
      </w:r>
      <w:r w:rsidR="007D3028">
        <w:t>by</w:t>
      </w:r>
      <w:r w:rsidR="007D3028">
        <w:rPr>
          <w:spacing w:val="3"/>
        </w:rPr>
        <w:t xml:space="preserve"> </w:t>
      </w:r>
      <w:r w:rsidR="007D3028">
        <w:t>the Cities/Towns of Willis, Groves, and Nederland</w:t>
      </w:r>
      <w:r w:rsidR="00D55142">
        <w:t>, and memorializing their decision to not sever issues related to Preliminary Order Issue</w:t>
      </w:r>
      <w:r w:rsidR="21438BE9">
        <w:t xml:space="preserve"> Nos.</w:t>
      </w:r>
      <w:r w:rsidR="00D55142">
        <w:t xml:space="preserve"> 68 and 69</w:t>
      </w:r>
      <w:r w:rsidR="007D3028">
        <w:t>.</w:t>
      </w:r>
    </w:p>
    <w:p w14:paraId="6D68A4AD" w14:textId="63BFBE83" w:rsidR="000D1A7A" w:rsidRDefault="000D1A7A" w:rsidP="002F0762">
      <w:pPr>
        <w:pStyle w:val="BodyText"/>
        <w:numPr>
          <w:ilvl w:val="0"/>
          <w:numId w:val="8"/>
        </w:numPr>
        <w:tabs>
          <w:tab w:val="left" w:pos="820"/>
        </w:tabs>
        <w:spacing w:line="360" w:lineRule="auto"/>
        <w:ind w:left="540" w:hanging="540"/>
        <w:jc w:val="both"/>
      </w:pPr>
      <w:r>
        <w:lastRenderedPageBreak/>
        <w:t>On</w:t>
      </w:r>
      <w:r w:rsidR="004E018A">
        <w:t xml:space="preserve"> October 26, 2022</w:t>
      </w:r>
      <w:r>
        <w:t>,</w:t>
      </w:r>
      <w:r>
        <w:rPr>
          <w:spacing w:val="56"/>
        </w:rPr>
        <w:t xml:space="preserve"> </w:t>
      </w:r>
      <w:r>
        <w:t>the</w:t>
      </w:r>
      <w:r>
        <w:rPr>
          <w:spacing w:val="56"/>
        </w:rPr>
        <w:t xml:space="preserve"> </w:t>
      </w:r>
      <w:r>
        <w:t>following</w:t>
      </w:r>
      <w:r>
        <w:rPr>
          <w:spacing w:val="56"/>
        </w:rPr>
        <w:t xml:space="preserve"> </w:t>
      </w:r>
      <w:r>
        <w:rPr>
          <w:spacing w:val="-1"/>
        </w:rPr>
        <w:t>intervenors</w:t>
      </w:r>
      <w:r>
        <w:rPr>
          <w:spacing w:val="56"/>
        </w:rPr>
        <w:t xml:space="preserve"> </w:t>
      </w:r>
      <w:r>
        <w:rPr>
          <w:spacing w:val="-1"/>
        </w:rPr>
        <w:t>filed</w:t>
      </w:r>
      <w:r>
        <w:rPr>
          <w:spacing w:val="56"/>
        </w:rPr>
        <w:t xml:space="preserve"> </w:t>
      </w:r>
      <w:r>
        <w:rPr>
          <w:spacing w:val="-1"/>
        </w:rPr>
        <w:t>direct</w:t>
      </w:r>
      <w:r>
        <w:rPr>
          <w:spacing w:val="56"/>
        </w:rPr>
        <w:t xml:space="preserve"> </w:t>
      </w:r>
      <w:r>
        <w:rPr>
          <w:spacing w:val="-1"/>
        </w:rPr>
        <w:t>testimony:</w:t>
      </w:r>
      <w:r>
        <w:rPr>
          <w:spacing w:val="56"/>
        </w:rPr>
        <w:t xml:space="preserve"> </w:t>
      </w:r>
      <w:r>
        <w:rPr>
          <w:spacing w:val="-1"/>
        </w:rPr>
        <w:t>TIEC,</w:t>
      </w:r>
      <w:r>
        <w:rPr>
          <w:spacing w:val="56"/>
        </w:rPr>
        <w:t xml:space="preserve"> </w:t>
      </w:r>
      <w:r>
        <w:rPr>
          <w:spacing w:val="-1"/>
        </w:rPr>
        <w:t>OPUC,</w:t>
      </w:r>
      <w:r>
        <w:rPr>
          <w:spacing w:val="43"/>
        </w:rPr>
        <w:t xml:space="preserve"> </w:t>
      </w:r>
      <w:r>
        <w:rPr>
          <w:spacing w:val="-1"/>
        </w:rPr>
        <w:t>Walmart,</w:t>
      </w:r>
      <w:r>
        <w:t xml:space="preserve"> Cities,</w:t>
      </w:r>
      <w:r>
        <w:rPr>
          <w:spacing w:val="-2"/>
        </w:rPr>
        <w:t xml:space="preserve"> </w:t>
      </w:r>
      <w:r w:rsidR="004E018A">
        <w:t>Sierra Club, SPS, Charge Point, Inc.</w:t>
      </w:r>
      <w:r w:rsidR="00E12DAA">
        <w:t>, and</w:t>
      </w:r>
      <w:r w:rsidR="004E018A">
        <w:t xml:space="preserve"> Flash Parking, Inc. </w:t>
      </w:r>
      <w:r w:rsidR="00444DD9">
        <w:t xml:space="preserve"> </w:t>
      </w:r>
      <w:r w:rsidR="004E018A">
        <w:t>Americans for Affordable Clean Energy and EPE filed statements of position</w:t>
      </w:r>
      <w:r w:rsidR="00E73196">
        <w:t>.</w:t>
      </w:r>
    </w:p>
    <w:p w14:paraId="09918950" w14:textId="41A832AB" w:rsidR="00E73196" w:rsidRDefault="00E73196" w:rsidP="002F0762">
      <w:pPr>
        <w:pStyle w:val="BodyText"/>
        <w:numPr>
          <w:ilvl w:val="0"/>
          <w:numId w:val="8"/>
        </w:numPr>
        <w:tabs>
          <w:tab w:val="left" w:pos="820"/>
        </w:tabs>
        <w:spacing w:line="360" w:lineRule="auto"/>
        <w:ind w:left="540" w:hanging="540"/>
        <w:jc w:val="both"/>
      </w:pPr>
      <w:r>
        <w:t>On October 27, 2022</w:t>
      </w:r>
      <w:r w:rsidR="00E12DAA">
        <w:t>,</w:t>
      </w:r>
      <w:r>
        <w:t xml:space="preserve"> the following intervenors filed workpapers in support of their witnesses’ testimonies: Cities, Sierra Club, and TIEC.</w:t>
      </w:r>
    </w:p>
    <w:p w14:paraId="5FF400EC" w14:textId="77777777" w:rsidR="00E73196" w:rsidRDefault="00E73196" w:rsidP="002F0762">
      <w:pPr>
        <w:pStyle w:val="BodyText"/>
        <w:numPr>
          <w:ilvl w:val="0"/>
          <w:numId w:val="8"/>
        </w:numPr>
        <w:tabs>
          <w:tab w:val="left" w:pos="820"/>
        </w:tabs>
        <w:spacing w:line="360" w:lineRule="auto"/>
        <w:ind w:left="540" w:hanging="540"/>
        <w:jc w:val="both"/>
      </w:pPr>
      <w:r>
        <w:t>On November 2, 2022, Commission Staff filed the testimony of the following witnesses: William B. Abbott, Emily Sears, Mark Filarowicz, and Ruth Stark.</w:t>
      </w:r>
    </w:p>
    <w:p w14:paraId="01506851" w14:textId="38E81DB5" w:rsidR="00A82F9C" w:rsidRDefault="00E73196" w:rsidP="002F0762">
      <w:pPr>
        <w:pStyle w:val="BodyText"/>
        <w:numPr>
          <w:ilvl w:val="0"/>
          <w:numId w:val="8"/>
        </w:numPr>
        <w:tabs>
          <w:tab w:val="left" w:pos="820"/>
        </w:tabs>
        <w:spacing w:line="360" w:lineRule="auto"/>
        <w:ind w:left="540" w:hanging="540"/>
        <w:jc w:val="both"/>
      </w:pPr>
      <w:r>
        <w:t xml:space="preserve">On November 3, 2022, Commission Staff filed workpapers in support of </w:t>
      </w:r>
      <w:r w:rsidR="00E3037D">
        <w:t xml:space="preserve">the testimony of </w:t>
      </w:r>
      <w:r w:rsidR="00D5062F">
        <w:t>Ruth Stark</w:t>
      </w:r>
      <w:r>
        <w:t>.</w:t>
      </w:r>
    </w:p>
    <w:p w14:paraId="416E0589" w14:textId="0B6B4E47" w:rsidR="004E018A" w:rsidRDefault="00A82F9C" w:rsidP="002F0762">
      <w:pPr>
        <w:pStyle w:val="BodyText"/>
        <w:numPr>
          <w:ilvl w:val="0"/>
          <w:numId w:val="8"/>
        </w:numPr>
        <w:tabs>
          <w:tab w:val="left" w:pos="820"/>
        </w:tabs>
        <w:spacing w:line="360" w:lineRule="auto"/>
        <w:ind w:left="540" w:hanging="540"/>
        <w:jc w:val="both"/>
      </w:pPr>
      <w:r>
        <w:t>On November 9, 2022, Staff filed the direct testimony of Ethan Blanchard.</w:t>
      </w:r>
      <w:r w:rsidR="00E73196">
        <w:t xml:space="preserve">  </w:t>
      </w:r>
    </w:p>
    <w:p w14:paraId="40986455" w14:textId="389DE0DD" w:rsidR="000D1A7A" w:rsidRDefault="000D1A7A" w:rsidP="002F0762">
      <w:pPr>
        <w:pStyle w:val="BodyText"/>
        <w:numPr>
          <w:ilvl w:val="0"/>
          <w:numId w:val="8"/>
        </w:numPr>
        <w:tabs>
          <w:tab w:val="left" w:pos="820"/>
        </w:tabs>
        <w:spacing w:line="360" w:lineRule="auto"/>
        <w:ind w:left="540" w:hanging="540"/>
        <w:jc w:val="both"/>
      </w:pPr>
      <w:r>
        <w:t xml:space="preserve">On </w:t>
      </w:r>
      <w:r w:rsidR="00F6306F">
        <w:t xml:space="preserve">November 16, 2022, </w:t>
      </w:r>
      <w:r>
        <w:t xml:space="preserve">ETI filed rebuttal </w:t>
      </w:r>
      <w:r>
        <w:rPr>
          <w:spacing w:val="-1"/>
        </w:rPr>
        <w:t>testimony.</w:t>
      </w:r>
    </w:p>
    <w:p w14:paraId="314DF43C" w14:textId="269BE4CF" w:rsidR="000D1A7A" w:rsidRPr="00444DD9" w:rsidRDefault="000D1A7A" w:rsidP="002F0762">
      <w:pPr>
        <w:pStyle w:val="BodyText"/>
        <w:numPr>
          <w:ilvl w:val="0"/>
          <w:numId w:val="8"/>
        </w:numPr>
        <w:tabs>
          <w:tab w:val="left" w:pos="820"/>
        </w:tabs>
        <w:spacing w:line="360" w:lineRule="auto"/>
        <w:ind w:left="540" w:hanging="540"/>
        <w:jc w:val="both"/>
      </w:pPr>
      <w:r>
        <w:rPr>
          <w:spacing w:val="-1"/>
        </w:rPr>
        <w:t>On</w:t>
      </w:r>
      <w:r>
        <w:rPr>
          <w:spacing w:val="-9"/>
        </w:rPr>
        <w:t xml:space="preserve"> </w:t>
      </w:r>
      <w:r w:rsidR="00F6306F" w:rsidRPr="00E12DAA">
        <w:t>November</w:t>
      </w:r>
      <w:r w:rsidR="00F6306F">
        <w:rPr>
          <w:spacing w:val="-1"/>
        </w:rPr>
        <w:t xml:space="preserve"> 16, 2022, </w:t>
      </w:r>
      <w:r>
        <w:rPr>
          <w:spacing w:val="-1"/>
        </w:rPr>
        <w:t>the</w:t>
      </w:r>
      <w:r>
        <w:rPr>
          <w:spacing w:val="-9"/>
        </w:rPr>
        <w:t xml:space="preserve"> </w:t>
      </w:r>
      <w:r>
        <w:rPr>
          <w:spacing w:val="-1"/>
        </w:rPr>
        <w:t>following</w:t>
      </w:r>
      <w:r>
        <w:rPr>
          <w:spacing w:val="-9"/>
        </w:rPr>
        <w:t xml:space="preserve"> </w:t>
      </w:r>
      <w:r w:rsidR="00444DD9">
        <w:rPr>
          <w:spacing w:val="-1"/>
        </w:rPr>
        <w:t xml:space="preserve">intervenors </w:t>
      </w:r>
      <w:r>
        <w:t>filed</w:t>
      </w:r>
      <w:r>
        <w:rPr>
          <w:spacing w:val="-10"/>
        </w:rPr>
        <w:t xml:space="preserve"> </w:t>
      </w:r>
      <w:r>
        <w:t>cross-rebuttal</w:t>
      </w:r>
      <w:r>
        <w:rPr>
          <w:spacing w:val="-10"/>
        </w:rPr>
        <w:t xml:space="preserve"> </w:t>
      </w:r>
      <w:r>
        <w:rPr>
          <w:spacing w:val="-1"/>
        </w:rPr>
        <w:t>testimony:</w:t>
      </w:r>
      <w:r>
        <w:rPr>
          <w:spacing w:val="-9"/>
        </w:rPr>
        <w:t xml:space="preserve"> </w:t>
      </w:r>
      <w:r w:rsidR="00F6306F">
        <w:rPr>
          <w:spacing w:val="-1"/>
        </w:rPr>
        <w:t xml:space="preserve">Charge Point, Inc., SPS, Cities, </w:t>
      </w:r>
      <w:r>
        <w:rPr>
          <w:spacing w:val="-1"/>
        </w:rPr>
        <w:t>OPUC,</w:t>
      </w:r>
      <w:r>
        <w:rPr>
          <w:spacing w:val="-9"/>
        </w:rPr>
        <w:t xml:space="preserve"> </w:t>
      </w:r>
      <w:r>
        <w:rPr>
          <w:spacing w:val="-1"/>
        </w:rPr>
        <w:t>and</w:t>
      </w:r>
      <w:r>
        <w:rPr>
          <w:spacing w:val="32"/>
        </w:rPr>
        <w:t xml:space="preserve"> </w:t>
      </w:r>
      <w:r>
        <w:rPr>
          <w:spacing w:val="-1"/>
        </w:rPr>
        <w:t>TIEC.</w:t>
      </w:r>
    </w:p>
    <w:p w14:paraId="4CAD6924" w14:textId="37AB0334" w:rsidR="00444DD9" w:rsidRPr="00206792" w:rsidRDefault="00444DD9" w:rsidP="002F0762">
      <w:pPr>
        <w:pStyle w:val="BodyText"/>
        <w:numPr>
          <w:ilvl w:val="0"/>
          <w:numId w:val="8"/>
        </w:numPr>
        <w:tabs>
          <w:tab w:val="left" w:pos="820"/>
        </w:tabs>
        <w:spacing w:line="360" w:lineRule="auto"/>
        <w:ind w:left="540" w:hanging="540"/>
        <w:jc w:val="both"/>
      </w:pPr>
      <w:r>
        <w:rPr>
          <w:spacing w:val="-1"/>
        </w:rPr>
        <w:t xml:space="preserve">On </w:t>
      </w:r>
      <w:r w:rsidRPr="00E12DAA">
        <w:t>November</w:t>
      </w:r>
      <w:r>
        <w:rPr>
          <w:spacing w:val="-1"/>
        </w:rPr>
        <w:t xml:space="preserve"> 17, </w:t>
      </w:r>
      <w:r w:rsidR="004153DC">
        <w:rPr>
          <w:spacing w:val="-1"/>
        </w:rPr>
        <w:t xml:space="preserve">2022, </w:t>
      </w:r>
      <w:r>
        <w:rPr>
          <w:spacing w:val="-1"/>
        </w:rPr>
        <w:t xml:space="preserve">ETI filed workpapers in support of its witnesses’ rebuttal testimonies. </w:t>
      </w:r>
    </w:p>
    <w:p w14:paraId="0FE2F92D" w14:textId="77777777" w:rsidR="00206792" w:rsidRPr="001E437F" w:rsidRDefault="00206792" w:rsidP="002F0762">
      <w:pPr>
        <w:pStyle w:val="BodyText"/>
        <w:numPr>
          <w:ilvl w:val="0"/>
          <w:numId w:val="8"/>
        </w:numPr>
        <w:tabs>
          <w:tab w:val="left" w:pos="820"/>
        </w:tabs>
        <w:spacing w:line="360" w:lineRule="auto"/>
        <w:ind w:left="540" w:hanging="540"/>
        <w:jc w:val="both"/>
      </w:pPr>
      <w:r>
        <w:rPr>
          <w:spacing w:val="-1"/>
        </w:rPr>
        <w:t xml:space="preserve">On </w:t>
      </w:r>
      <w:r w:rsidRPr="00E12DAA">
        <w:t>November</w:t>
      </w:r>
      <w:r>
        <w:rPr>
          <w:spacing w:val="-1"/>
        </w:rPr>
        <w:t xml:space="preserve"> 29, 2022, OPUC filed an errata to the direct testimony of Evan D. Evans.</w:t>
      </w:r>
    </w:p>
    <w:p w14:paraId="2D10A049" w14:textId="3F7ED9D3" w:rsidR="00206792" w:rsidRPr="00206792" w:rsidRDefault="00206792" w:rsidP="002F0762">
      <w:pPr>
        <w:pStyle w:val="BodyText"/>
        <w:numPr>
          <w:ilvl w:val="0"/>
          <w:numId w:val="8"/>
        </w:numPr>
        <w:tabs>
          <w:tab w:val="left" w:pos="820"/>
        </w:tabs>
        <w:spacing w:line="360" w:lineRule="auto"/>
        <w:ind w:left="540" w:hanging="540"/>
        <w:jc w:val="both"/>
      </w:pPr>
      <w:r>
        <w:t xml:space="preserve">On December 1, 2022, the SOAH ALJs issued SOAH Order No. 11 </w:t>
      </w:r>
      <w:r w:rsidR="003C7160">
        <w:t xml:space="preserve">adopting ETI’s proposal to address the issue of rate-case expenses through a separate hearing, adopting ETI’s proposal to decide Preliminary Order Issues 68 and 69 on written submission, and consolidating the review of </w:t>
      </w:r>
      <w:r>
        <w:t xml:space="preserve">the </w:t>
      </w:r>
      <w:r w:rsidR="003C7160">
        <w:t xml:space="preserve">municipal ordinances of </w:t>
      </w:r>
      <w:r w:rsidR="004E7347">
        <w:t xml:space="preserve">the Cities/Towns of </w:t>
      </w:r>
      <w:r>
        <w:t>Dayton, Sour Lake, Port Neches, Navasota, Orange, Liberty, Pinehurst, Port Arthur, Anahuac, Bridge City, Rose City, Vidor, and Roman Forest</w:t>
      </w:r>
      <w:r w:rsidR="003C7160">
        <w:t>.</w:t>
      </w:r>
    </w:p>
    <w:p w14:paraId="7E6F5153" w14:textId="1EF931EB" w:rsidR="001E437F" w:rsidRPr="001E437F" w:rsidRDefault="001E437F" w:rsidP="002F0762">
      <w:pPr>
        <w:pStyle w:val="BodyText"/>
        <w:numPr>
          <w:ilvl w:val="0"/>
          <w:numId w:val="8"/>
        </w:numPr>
        <w:tabs>
          <w:tab w:val="left" w:pos="820"/>
        </w:tabs>
        <w:spacing w:line="360" w:lineRule="auto"/>
        <w:ind w:left="540" w:hanging="540"/>
        <w:jc w:val="both"/>
      </w:pPr>
      <w:r>
        <w:rPr>
          <w:spacing w:val="-1"/>
        </w:rPr>
        <w:t xml:space="preserve">On </w:t>
      </w:r>
      <w:r w:rsidRPr="00E12DAA">
        <w:t>December</w:t>
      </w:r>
      <w:r>
        <w:rPr>
          <w:spacing w:val="-1"/>
        </w:rPr>
        <w:t xml:space="preserve"> 1, 2022, TIEC filed errata to the direct testimonies of Charles S. Griffey, Jeffry Pollock, and Michael P. Gorman. Cities filed an errata to the direct testimony of Mark E. Garrett.</w:t>
      </w:r>
    </w:p>
    <w:p w14:paraId="596C07BC" w14:textId="0AA89158" w:rsidR="007254C9" w:rsidRPr="00873944" w:rsidRDefault="007254C9" w:rsidP="007254C9">
      <w:pPr>
        <w:pStyle w:val="BodyText"/>
        <w:numPr>
          <w:ilvl w:val="0"/>
          <w:numId w:val="8"/>
        </w:numPr>
        <w:tabs>
          <w:tab w:val="left" w:pos="820"/>
        </w:tabs>
        <w:spacing w:line="360" w:lineRule="auto"/>
        <w:ind w:left="540" w:hanging="540"/>
        <w:jc w:val="both"/>
      </w:pPr>
      <w:r>
        <w:t xml:space="preserve">On </w:t>
      </w:r>
      <w:r w:rsidRPr="00E12DAA">
        <w:t>December</w:t>
      </w:r>
      <w:r>
        <w:t xml:space="preserve"> 2, 2022, ETI filed its Errata No. 2.</w:t>
      </w:r>
    </w:p>
    <w:p w14:paraId="1D1A7B59" w14:textId="16C71162" w:rsidR="008658D7" w:rsidRPr="00B110EA" w:rsidRDefault="008658D7" w:rsidP="002F0762">
      <w:pPr>
        <w:pStyle w:val="BodyText"/>
        <w:numPr>
          <w:ilvl w:val="0"/>
          <w:numId w:val="8"/>
        </w:numPr>
        <w:tabs>
          <w:tab w:val="left" w:pos="820"/>
        </w:tabs>
        <w:spacing w:line="360" w:lineRule="auto"/>
        <w:ind w:left="540" w:hanging="540"/>
        <w:jc w:val="both"/>
      </w:pPr>
      <w:r>
        <w:t xml:space="preserve">On December 16, 2022, </w:t>
      </w:r>
      <w:r w:rsidR="0CDEF928">
        <w:t>t</w:t>
      </w:r>
      <w:r>
        <w:t>he SOAH ALJs issued SOAH Order No. 13 consolidating the review of the municipal ordinances of Silsbee, Beaumont, and Pine Forest.</w:t>
      </w:r>
    </w:p>
    <w:p w14:paraId="300D5911" w14:textId="1B49AAB2" w:rsidR="2C55431D" w:rsidRDefault="2C55431D" w:rsidP="03CC5A80">
      <w:pPr>
        <w:pStyle w:val="BodyText"/>
        <w:numPr>
          <w:ilvl w:val="0"/>
          <w:numId w:val="8"/>
        </w:numPr>
        <w:tabs>
          <w:tab w:val="left" w:pos="820"/>
        </w:tabs>
        <w:spacing w:line="360" w:lineRule="auto"/>
        <w:ind w:left="540" w:hanging="540"/>
        <w:jc w:val="both"/>
      </w:pPr>
      <w:r>
        <w:t>On December 28, 2022, the</w:t>
      </w:r>
      <w:r w:rsidR="09888F9D">
        <w:t xml:space="preserve"> SOAH ALJs issued SOAH Order No. 14 adopting a briefing outline for Preliminary Order Issue Nos. 68 and 69, admitting evidence, </w:t>
      </w:r>
      <w:r w:rsidR="005B4454">
        <w:t xml:space="preserve">and </w:t>
      </w:r>
      <w:r w:rsidR="09888F9D">
        <w:t>adopting a procedural schedule regarding rate-case expens</w:t>
      </w:r>
      <w:r w:rsidR="26A8EE67">
        <w:t>es.</w:t>
      </w:r>
    </w:p>
    <w:p w14:paraId="144960E4" w14:textId="33A8B624" w:rsidR="26A8EE67" w:rsidRDefault="26A8EE67" w:rsidP="03CC5A80">
      <w:pPr>
        <w:pStyle w:val="BodyText"/>
        <w:numPr>
          <w:ilvl w:val="0"/>
          <w:numId w:val="8"/>
        </w:numPr>
        <w:tabs>
          <w:tab w:val="left" w:pos="820"/>
        </w:tabs>
        <w:spacing w:line="360" w:lineRule="auto"/>
        <w:ind w:left="540" w:hanging="540"/>
        <w:jc w:val="both"/>
      </w:pPr>
      <w:r>
        <w:lastRenderedPageBreak/>
        <w:t>On January 24, 2023, the SOAH ALJs issued SOAH Order No. 15 consolidating the review of the appeal of the rate change request decision of the C</w:t>
      </w:r>
      <w:r w:rsidR="0C61F764">
        <w:t>i</w:t>
      </w:r>
      <w:r>
        <w:t xml:space="preserve">ty/Town of West </w:t>
      </w:r>
      <w:r w:rsidR="2D0F84CB">
        <w:t>Orange.</w:t>
      </w:r>
    </w:p>
    <w:p w14:paraId="05AF58EA" w14:textId="2F3A95CE" w:rsidR="1E18FBE2" w:rsidRDefault="1E18FBE2" w:rsidP="03CC5A80">
      <w:pPr>
        <w:pStyle w:val="BodyText"/>
        <w:numPr>
          <w:ilvl w:val="0"/>
          <w:numId w:val="8"/>
        </w:numPr>
        <w:tabs>
          <w:tab w:val="left" w:pos="820"/>
        </w:tabs>
        <w:spacing w:line="360" w:lineRule="auto"/>
        <w:ind w:left="540" w:hanging="540"/>
        <w:jc w:val="both"/>
      </w:pPr>
      <w:r>
        <w:t xml:space="preserve">On February </w:t>
      </w:r>
      <w:r w:rsidR="00EA68FE">
        <w:t>1</w:t>
      </w:r>
      <w:r>
        <w:t>, 2023, Cities filed the supplemental direct testimony of Norman J. Gordon.</w:t>
      </w:r>
    </w:p>
    <w:p w14:paraId="30FCD2BC" w14:textId="1CA5E615" w:rsidR="1E18FBE2" w:rsidRDefault="1E18FBE2" w:rsidP="03CC5A80">
      <w:pPr>
        <w:pStyle w:val="BodyText"/>
        <w:numPr>
          <w:ilvl w:val="0"/>
          <w:numId w:val="8"/>
        </w:numPr>
        <w:tabs>
          <w:tab w:val="left" w:pos="820"/>
        </w:tabs>
        <w:spacing w:line="360" w:lineRule="auto"/>
        <w:ind w:left="540" w:hanging="540"/>
        <w:jc w:val="both"/>
      </w:pPr>
      <w:r>
        <w:t xml:space="preserve">On February </w:t>
      </w:r>
      <w:r w:rsidR="008D7C08">
        <w:t>1</w:t>
      </w:r>
      <w:r>
        <w:t>, 2023, ETI filed the second supplemental direct testimony and exhibits of Meghan E. Griffiths and Rich</w:t>
      </w:r>
      <w:r w:rsidR="4D546979">
        <w:t>ard</w:t>
      </w:r>
      <w:r>
        <w:t xml:space="preserve"> E. Lain.</w:t>
      </w:r>
    </w:p>
    <w:p w14:paraId="223B3B86" w14:textId="67EBBBA8" w:rsidR="1E18FBE2" w:rsidRDefault="1E18FBE2" w:rsidP="03CC5A80">
      <w:pPr>
        <w:pStyle w:val="BodyText"/>
        <w:numPr>
          <w:ilvl w:val="0"/>
          <w:numId w:val="8"/>
        </w:numPr>
        <w:tabs>
          <w:tab w:val="left" w:pos="820"/>
        </w:tabs>
        <w:spacing w:line="360" w:lineRule="auto"/>
        <w:ind w:left="540" w:hanging="540"/>
        <w:jc w:val="both"/>
      </w:pPr>
      <w:r>
        <w:t>On February 15, 2023, Commission Staff filed the supplemental direct testimony and workpapers of Ruth Stark.</w:t>
      </w:r>
    </w:p>
    <w:p w14:paraId="0A03AEE2" w14:textId="35F58B09" w:rsidR="62979DFB" w:rsidRDefault="62979DFB" w:rsidP="03CC5A80">
      <w:pPr>
        <w:pStyle w:val="BodyText"/>
        <w:numPr>
          <w:ilvl w:val="0"/>
          <w:numId w:val="8"/>
        </w:numPr>
        <w:tabs>
          <w:tab w:val="left" w:pos="820"/>
        </w:tabs>
        <w:spacing w:line="360" w:lineRule="auto"/>
        <w:ind w:left="540" w:hanging="540"/>
        <w:jc w:val="both"/>
      </w:pPr>
      <w:r>
        <w:t xml:space="preserve">On February 16, 2023, the SOAH ALJs issued SOAH Order No. 16 consolidating review of the appeals of the rate change request decisions of Cities/Towns of Huntsville, Splendora, </w:t>
      </w:r>
      <w:r w:rsidR="4E330B3A">
        <w:t>Montgomery, Conroe, Shenandoah, Panorama Village, and Rose Hill Acres.</w:t>
      </w:r>
    </w:p>
    <w:p w14:paraId="4288F279" w14:textId="1779658D" w:rsidR="4E330B3A" w:rsidRDefault="4E330B3A" w:rsidP="03CC5A80">
      <w:pPr>
        <w:pStyle w:val="BodyText"/>
        <w:numPr>
          <w:ilvl w:val="0"/>
          <w:numId w:val="8"/>
        </w:numPr>
        <w:tabs>
          <w:tab w:val="left" w:pos="820"/>
        </w:tabs>
        <w:spacing w:line="360" w:lineRule="auto"/>
        <w:ind w:left="540" w:hanging="540"/>
        <w:jc w:val="both"/>
      </w:pPr>
      <w:r>
        <w:t>On February 22, 2023, ETI filed the supplemental rebuttal testimonies of Meghan E. Griffiths, Rich</w:t>
      </w:r>
      <w:r w:rsidR="187747A1">
        <w:t>ard</w:t>
      </w:r>
      <w:r>
        <w:t xml:space="preserve"> E. Lain, and Ryan A. Dumas.</w:t>
      </w:r>
    </w:p>
    <w:p w14:paraId="21559A88" w14:textId="74A03BD4" w:rsidR="008658D7" w:rsidRPr="0068003F" w:rsidRDefault="008658D7" w:rsidP="0086611A">
      <w:pPr>
        <w:pStyle w:val="BodyText"/>
        <w:tabs>
          <w:tab w:val="left" w:pos="820"/>
        </w:tabs>
        <w:spacing w:before="138" w:line="360" w:lineRule="auto"/>
        <w:ind w:left="0" w:firstLine="0"/>
        <w:jc w:val="both"/>
      </w:pPr>
      <w:r>
        <w:rPr>
          <w:rFonts w:cs="Times New Roman"/>
          <w:b/>
          <w:bCs/>
          <w:i/>
          <w:u w:val="single"/>
        </w:rPr>
        <w:t>Settlement and Stipulation</w:t>
      </w:r>
    </w:p>
    <w:p w14:paraId="58FCC076" w14:textId="7E306312" w:rsidR="001E437F" w:rsidRDefault="001E437F" w:rsidP="001C3491">
      <w:pPr>
        <w:pStyle w:val="BodyText"/>
        <w:numPr>
          <w:ilvl w:val="0"/>
          <w:numId w:val="8"/>
        </w:numPr>
        <w:tabs>
          <w:tab w:val="left" w:pos="820"/>
        </w:tabs>
        <w:spacing w:before="138" w:line="360" w:lineRule="auto"/>
        <w:ind w:left="540" w:hanging="540"/>
        <w:jc w:val="both"/>
      </w:pPr>
      <w:r>
        <w:rPr>
          <w:spacing w:val="-1"/>
        </w:rPr>
        <w:t>On December 9, 2022, having reached a settlement in principle with the parties, ETI filed its first Settlement Status Report and Motion to Abate on behalf of the parties.</w:t>
      </w:r>
    </w:p>
    <w:p w14:paraId="7E823774" w14:textId="0CBF01BB" w:rsidR="000D1A7A" w:rsidRPr="00A24F1F" w:rsidRDefault="001E437F" w:rsidP="001C3491">
      <w:pPr>
        <w:pStyle w:val="BodyText"/>
        <w:numPr>
          <w:ilvl w:val="0"/>
          <w:numId w:val="8"/>
        </w:numPr>
        <w:tabs>
          <w:tab w:val="left" w:pos="820"/>
        </w:tabs>
        <w:spacing w:before="138" w:line="360" w:lineRule="auto"/>
        <w:ind w:left="540" w:hanging="540"/>
        <w:jc w:val="both"/>
      </w:pPr>
      <w:r>
        <w:t>On December 12, 2022</w:t>
      </w:r>
      <w:r w:rsidR="000D1A7A">
        <w:t>,</w:t>
      </w:r>
      <w:r w:rsidR="000D1A7A">
        <w:rPr>
          <w:spacing w:val="-15"/>
        </w:rPr>
        <w:t xml:space="preserve"> </w:t>
      </w:r>
      <w:r w:rsidRPr="00D879E4">
        <w:rPr>
          <w:spacing w:val="-1"/>
        </w:rPr>
        <w:t xml:space="preserve">the </w:t>
      </w:r>
      <w:r w:rsidR="000D1A7A" w:rsidRPr="00D879E4">
        <w:rPr>
          <w:spacing w:val="-1"/>
        </w:rPr>
        <w:t>S</w:t>
      </w:r>
      <w:r w:rsidR="000D1A7A">
        <w:t>OAH</w:t>
      </w:r>
      <w:r>
        <w:t xml:space="preserve"> ALJs issued SOAH</w:t>
      </w:r>
      <w:r w:rsidR="000D1A7A">
        <w:rPr>
          <w:spacing w:val="37"/>
        </w:rPr>
        <w:t xml:space="preserve"> </w:t>
      </w:r>
      <w:r w:rsidR="000D1A7A">
        <w:t xml:space="preserve">Order No. </w:t>
      </w:r>
      <w:r>
        <w:t>12</w:t>
      </w:r>
      <w:r w:rsidR="000D1A7A">
        <w:t xml:space="preserve">, </w:t>
      </w:r>
      <w:r w:rsidR="00A82F9C">
        <w:rPr>
          <w:spacing w:val="-1"/>
        </w:rPr>
        <w:t>granting the motion to abate the proceeding and adopting propos</w:t>
      </w:r>
      <w:r w:rsidR="00A00BDD">
        <w:rPr>
          <w:spacing w:val="-1"/>
        </w:rPr>
        <w:t>ed procedures</w:t>
      </w:r>
      <w:r w:rsidR="00A82F9C">
        <w:rPr>
          <w:spacing w:val="-1"/>
        </w:rPr>
        <w:t xml:space="preserve"> regarding rate-case expenses and </w:t>
      </w:r>
      <w:r w:rsidR="00A00BDD">
        <w:rPr>
          <w:spacing w:val="-1"/>
        </w:rPr>
        <w:t>Preliminary Order Issue Nos. 68 and 69</w:t>
      </w:r>
      <w:r w:rsidR="00A82F9C">
        <w:rPr>
          <w:spacing w:val="-1"/>
        </w:rPr>
        <w:t xml:space="preserve">. </w:t>
      </w:r>
    </w:p>
    <w:p w14:paraId="1617FA67" w14:textId="25E3B5D0" w:rsidR="00707E2F" w:rsidRPr="00E018DC" w:rsidRDefault="00707E2F" w:rsidP="001C3491">
      <w:pPr>
        <w:pStyle w:val="BodyText"/>
        <w:numPr>
          <w:ilvl w:val="0"/>
          <w:numId w:val="8"/>
        </w:numPr>
        <w:tabs>
          <w:tab w:val="left" w:pos="820"/>
        </w:tabs>
        <w:spacing w:before="138" w:line="360" w:lineRule="auto"/>
        <w:ind w:left="540" w:hanging="540"/>
        <w:jc w:val="both"/>
      </w:pPr>
      <w:r>
        <w:t>On February</w:t>
      </w:r>
      <w:r w:rsidR="00166A91">
        <w:t xml:space="preserve"> </w:t>
      </w:r>
      <w:r w:rsidR="55367575">
        <w:t>2</w:t>
      </w:r>
      <w:r w:rsidR="00166A91">
        <w:t>7, 202</w:t>
      </w:r>
      <w:r w:rsidR="3FBDF3BC">
        <w:t>3,</w:t>
      </w:r>
      <w:r w:rsidR="00166A91">
        <w:t xml:space="preserve"> the SOAH ALJs issued SOAH Order No. 17 setting a hearing on the merits with respect to rate-case expenses.</w:t>
      </w:r>
    </w:p>
    <w:p w14:paraId="1CBA58D2" w14:textId="3F2ADC03" w:rsidR="00166A91" w:rsidRDefault="00166A91" w:rsidP="001C3491">
      <w:pPr>
        <w:pStyle w:val="BodyText"/>
        <w:numPr>
          <w:ilvl w:val="0"/>
          <w:numId w:val="8"/>
        </w:numPr>
        <w:tabs>
          <w:tab w:val="left" w:pos="820"/>
        </w:tabs>
        <w:spacing w:before="138" w:line="360" w:lineRule="auto"/>
        <w:ind w:left="540" w:hanging="540"/>
        <w:jc w:val="both"/>
      </w:pPr>
      <w:r>
        <w:t xml:space="preserve">On February </w:t>
      </w:r>
      <w:r w:rsidR="29DC2581">
        <w:t>28</w:t>
      </w:r>
      <w:r>
        <w:t>, 202</w:t>
      </w:r>
      <w:r w:rsidR="65EBD7AE">
        <w:t>3</w:t>
      </w:r>
      <w:r>
        <w:t>, the SOAH ALJs issued SOAH Order No. 18 cancelling the rate-case expense hearing</w:t>
      </w:r>
      <w:r w:rsidR="00C026D7">
        <w:t xml:space="preserve"> due to </w:t>
      </w:r>
      <w:r w:rsidR="00331164">
        <w:t xml:space="preserve">the parties having reached a </w:t>
      </w:r>
      <w:r w:rsidR="00C026D7">
        <w:t xml:space="preserve">settlement </w:t>
      </w:r>
      <w:r w:rsidR="00331164">
        <w:t>in principle regarding</w:t>
      </w:r>
      <w:r w:rsidR="00C026D7">
        <w:t xml:space="preserve"> those issues.</w:t>
      </w:r>
    </w:p>
    <w:p w14:paraId="7E21A4EC" w14:textId="0924DDA2" w:rsidR="00E92734" w:rsidRPr="007E0EAD" w:rsidRDefault="000D1A7A" w:rsidP="001C3491">
      <w:pPr>
        <w:pStyle w:val="BodyText"/>
        <w:numPr>
          <w:ilvl w:val="0"/>
          <w:numId w:val="8"/>
        </w:numPr>
        <w:tabs>
          <w:tab w:val="left" w:pos="820"/>
        </w:tabs>
        <w:spacing w:line="360" w:lineRule="auto"/>
        <w:ind w:left="540" w:hanging="540"/>
        <w:jc w:val="both"/>
      </w:pPr>
      <w:r>
        <w:t>On</w:t>
      </w:r>
      <w:r>
        <w:rPr>
          <w:spacing w:val="-10"/>
        </w:rPr>
        <w:t xml:space="preserve"> </w:t>
      </w:r>
      <w:r w:rsidR="00F136D3">
        <w:rPr>
          <w:spacing w:val="-1"/>
        </w:rPr>
        <w:t>May 10</w:t>
      </w:r>
      <w:r w:rsidR="00B52029">
        <w:rPr>
          <w:spacing w:val="-1"/>
        </w:rPr>
        <w:t>, 2023</w:t>
      </w:r>
      <w:r>
        <w:t>,</w:t>
      </w:r>
      <w:r>
        <w:rPr>
          <w:spacing w:val="-10"/>
        </w:rPr>
        <w:t xml:space="preserve"> </w:t>
      </w:r>
      <w:r>
        <w:t>ETI</w:t>
      </w:r>
      <w:r>
        <w:rPr>
          <w:spacing w:val="-10"/>
        </w:rPr>
        <w:t xml:space="preserve"> </w:t>
      </w:r>
      <w:r>
        <w:rPr>
          <w:spacing w:val="-1"/>
        </w:rPr>
        <w:t>filed</w:t>
      </w:r>
      <w:r>
        <w:rPr>
          <w:spacing w:val="-10"/>
        </w:rPr>
        <w:t xml:space="preserve"> </w:t>
      </w:r>
      <w:r>
        <w:t>an</w:t>
      </w:r>
      <w:r>
        <w:rPr>
          <w:spacing w:val="-11"/>
        </w:rPr>
        <w:t xml:space="preserve"> </w:t>
      </w:r>
      <w:r>
        <w:t>agreed</w:t>
      </w:r>
      <w:r>
        <w:rPr>
          <w:spacing w:val="-10"/>
        </w:rPr>
        <w:t xml:space="preserve"> </w:t>
      </w:r>
      <w:r>
        <w:rPr>
          <w:spacing w:val="-1"/>
        </w:rPr>
        <w:t>motion</w:t>
      </w:r>
      <w:r>
        <w:rPr>
          <w:spacing w:val="-10"/>
        </w:rPr>
        <w:t xml:space="preserve"> </w:t>
      </w:r>
      <w:r>
        <w:t>for</w:t>
      </w:r>
      <w:r>
        <w:rPr>
          <w:spacing w:val="-10"/>
        </w:rPr>
        <w:t xml:space="preserve"> </w:t>
      </w:r>
      <w:r>
        <w:t>interim</w:t>
      </w:r>
      <w:r>
        <w:rPr>
          <w:spacing w:val="-12"/>
        </w:rPr>
        <w:t xml:space="preserve"> </w:t>
      </w:r>
      <w:r>
        <w:rPr>
          <w:spacing w:val="-1"/>
        </w:rPr>
        <w:t>rates.</w:t>
      </w:r>
      <w:r>
        <w:rPr>
          <w:spacing w:val="40"/>
        </w:rPr>
        <w:t xml:space="preserve"> </w:t>
      </w:r>
      <w:r w:rsidR="00A24F1F">
        <w:rPr>
          <w:spacing w:val="40"/>
        </w:rPr>
        <w:t xml:space="preserve"> </w:t>
      </w:r>
    </w:p>
    <w:p w14:paraId="04DC0FAF" w14:textId="5C18EEFC" w:rsidR="000D1A7A" w:rsidRDefault="002078C0" w:rsidP="001C3491">
      <w:pPr>
        <w:pStyle w:val="BodyText"/>
        <w:numPr>
          <w:ilvl w:val="0"/>
          <w:numId w:val="8"/>
        </w:numPr>
        <w:tabs>
          <w:tab w:val="left" w:pos="820"/>
        </w:tabs>
        <w:spacing w:line="360" w:lineRule="auto"/>
        <w:ind w:left="540" w:hanging="540"/>
        <w:jc w:val="both"/>
      </w:pPr>
      <w:r>
        <w:t xml:space="preserve">On </w:t>
      </w:r>
      <w:r w:rsidR="00B67CC0">
        <w:t xml:space="preserve">_________, the SOAH ALJs issued SOAH Order No. </w:t>
      </w:r>
      <w:r w:rsidR="00756E3D">
        <w:t>__</w:t>
      </w:r>
      <w:r w:rsidR="00F505CC">
        <w:t xml:space="preserve"> granting </w:t>
      </w:r>
      <w:r>
        <w:t>t</w:t>
      </w:r>
      <w:r w:rsidR="000D1A7A">
        <w:rPr>
          <w:spacing w:val="-1"/>
        </w:rPr>
        <w:t>he</w:t>
      </w:r>
      <w:r w:rsidR="000D1A7A">
        <w:rPr>
          <w:spacing w:val="-10"/>
        </w:rPr>
        <w:t xml:space="preserve"> </w:t>
      </w:r>
      <w:r w:rsidR="005C0294">
        <w:t xml:space="preserve">agreed </w:t>
      </w:r>
      <w:r w:rsidR="000D1A7A">
        <w:rPr>
          <w:spacing w:val="-1"/>
        </w:rPr>
        <w:t>motion</w:t>
      </w:r>
      <w:r w:rsidR="000D1A7A">
        <w:rPr>
          <w:spacing w:val="-10"/>
        </w:rPr>
        <w:t xml:space="preserve"> </w:t>
      </w:r>
      <w:r w:rsidR="005C0294">
        <w:t>for interim rates effective ________.</w:t>
      </w:r>
    </w:p>
    <w:p w14:paraId="09524D9F" w14:textId="28416EAE" w:rsidR="000D1A7A" w:rsidRDefault="000D1A7A" w:rsidP="001C3491">
      <w:pPr>
        <w:pStyle w:val="BodyText"/>
        <w:numPr>
          <w:ilvl w:val="0"/>
          <w:numId w:val="8"/>
        </w:numPr>
        <w:tabs>
          <w:tab w:val="left" w:pos="820"/>
        </w:tabs>
        <w:spacing w:line="360" w:lineRule="auto"/>
        <w:ind w:left="540" w:hanging="540"/>
        <w:jc w:val="both"/>
      </w:pPr>
      <w:r>
        <w:t>On</w:t>
      </w:r>
      <w:r>
        <w:rPr>
          <w:spacing w:val="-10"/>
        </w:rPr>
        <w:t xml:space="preserve"> </w:t>
      </w:r>
      <w:r w:rsidR="00F136D3">
        <w:rPr>
          <w:spacing w:val="-1"/>
        </w:rPr>
        <w:t>May 10</w:t>
      </w:r>
      <w:r w:rsidR="00B52029">
        <w:rPr>
          <w:spacing w:val="-1"/>
        </w:rPr>
        <w:t>, 2023</w:t>
      </w:r>
      <w:r>
        <w:t>,</w:t>
      </w:r>
      <w:r>
        <w:rPr>
          <w:spacing w:val="-10"/>
        </w:rPr>
        <w:t xml:space="preserve"> </w:t>
      </w:r>
      <w:r>
        <w:t>ETI</w:t>
      </w:r>
      <w:r>
        <w:rPr>
          <w:spacing w:val="-10"/>
        </w:rPr>
        <w:t xml:space="preserve"> </w:t>
      </w:r>
      <w:r>
        <w:rPr>
          <w:spacing w:val="-1"/>
        </w:rPr>
        <w:t>filed</w:t>
      </w:r>
      <w:r>
        <w:rPr>
          <w:spacing w:val="-10"/>
        </w:rPr>
        <w:t xml:space="preserve"> </w:t>
      </w:r>
      <w:r>
        <w:t>the</w:t>
      </w:r>
      <w:r>
        <w:rPr>
          <w:spacing w:val="-10"/>
        </w:rPr>
        <w:t xml:space="preserve"> </w:t>
      </w:r>
      <w:r>
        <w:t>Stipulation</w:t>
      </w:r>
      <w:r>
        <w:rPr>
          <w:spacing w:val="-10"/>
        </w:rPr>
        <w:t xml:space="preserve"> </w:t>
      </w:r>
      <w:r>
        <w:t>resolving</w:t>
      </w:r>
      <w:r>
        <w:rPr>
          <w:spacing w:val="-10"/>
        </w:rPr>
        <w:t xml:space="preserve"> </w:t>
      </w:r>
      <w:r w:rsidR="00985BAD">
        <w:t>all</w:t>
      </w:r>
      <w:r w:rsidR="003C7160">
        <w:t xml:space="preserve"> </w:t>
      </w:r>
      <w:r>
        <w:rPr>
          <w:spacing w:val="-1"/>
        </w:rPr>
        <w:t>issues</w:t>
      </w:r>
      <w:r>
        <w:rPr>
          <w:spacing w:val="-10"/>
        </w:rPr>
        <w:t xml:space="preserve"> </w:t>
      </w:r>
      <w:r>
        <w:rPr>
          <w:spacing w:val="-1"/>
        </w:rPr>
        <w:t>in</w:t>
      </w:r>
      <w:r>
        <w:rPr>
          <w:spacing w:val="-10"/>
        </w:rPr>
        <w:t xml:space="preserve"> </w:t>
      </w:r>
      <w:r>
        <w:rPr>
          <w:spacing w:val="-1"/>
        </w:rPr>
        <w:t>this</w:t>
      </w:r>
      <w:r>
        <w:rPr>
          <w:spacing w:val="-10"/>
        </w:rPr>
        <w:t xml:space="preserve"> </w:t>
      </w:r>
      <w:r>
        <w:rPr>
          <w:spacing w:val="-1"/>
        </w:rPr>
        <w:t>proceeding</w:t>
      </w:r>
      <w:r w:rsidR="00985BAD">
        <w:rPr>
          <w:spacing w:val="-1"/>
        </w:rPr>
        <w:t xml:space="preserve"> other than Preliminary Order Issue Nos. 68 and 69</w:t>
      </w:r>
      <w:r>
        <w:rPr>
          <w:spacing w:val="-1"/>
        </w:rPr>
        <w:t>.</w:t>
      </w:r>
      <w:r>
        <w:rPr>
          <w:spacing w:val="-10"/>
        </w:rPr>
        <w:t xml:space="preserve"> </w:t>
      </w:r>
    </w:p>
    <w:p w14:paraId="430D1C56" w14:textId="097ACEE6" w:rsidR="000D1A7A" w:rsidRDefault="000D1A7A" w:rsidP="001C3491">
      <w:pPr>
        <w:pStyle w:val="BodyText"/>
        <w:numPr>
          <w:ilvl w:val="0"/>
          <w:numId w:val="8"/>
        </w:numPr>
        <w:tabs>
          <w:tab w:val="left" w:pos="820"/>
        </w:tabs>
        <w:spacing w:before="69" w:line="360" w:lineRule="auto"/>
        <w:ind w:left="540" w:hanging="540"/>
        <w:jc w:val="both"/>
      </w:pPr>
      <w:r>
        <w:t>On</w:t>
      </w:r>
      <w:r w:rsidRPr="000D1A7A">
        <w:rPr>
          <w:spacing w:val="3"/>
        </w:rPr>
        <w:t xml:space="preserve"> </w:t>
      </w:r>
      <w:r w:rsidR="004C0495">
        <w:rPr>
          <w:spacing w:val="-1"/>
        </w:rPr>
        <w:t xml:space="preserve">May </w:t>
      </w:r>
      <w:r w:rsidR="00F136D3">
        <w:rPr>
          <w:spacing w:val="-1"/>
        </w:rPr>
        <w:t>10</w:t>
      </w:r>
      <w:r w:rsidR="004C0495">
        <w:rPr>
          <w:spacing w:val="-1"/>
        </w:rPr>
        <w:t>, 2023</w:t>
      </w:r>
      <w:r>
        <w:t>,</w:t>
      </w:r>
      <w:r w:rsidRPr="000D1A7A">
        <w:rPr>
          <w:spacing w:val="3"/>
        </w:rPr>
        <w:t xml:space="preserve"> </w:t>
      </w:r>
      <w:r>
        <w:t>ETI</w:t>
      </w:r>
      <w:r w:rsidRPr="000D1A7A">
        <w:rPr>
          <w:spacing w:val="3"/>
        </w:rPr>
        <w:t xml:space="preserve"> </w:t>
      </w:r>
      <w:r>
        <w:t>filed</w:t>
      </w:r>
      <w:r w:rsidRPr="000D1A7A">
        <w:rPr>
          <w:spacing w:val="3"/>
        </w:rPr>
        <w:t xml:space="preserve"> </w:t>
      </w:r>
      <w:r w:rsidRPr="000D1A7A">
        <w:rPr>
          <w:spacing w:val="-1"/>
        </w:rPr>
        <w:t>testimony</w:t>
      </w:r>
      <w:r w:rsidRPr="000D1A7A">
        <w:rPr>
          <w:spacing w:val="3"/>
        </w:rPr>
        <w:t xml:space="preserve"> </w:t>
      </w:r>
      <w:r>
        <w:t>in</w:t>
      </w:r>
      <w:r w:rsidRPr="000D1A7A">
        <w:rPr>
          <w:spacing w:val="3"/>
        </w:rPr>
        <w:t xml:space="preserve"> </w:t>
      </w:r>
      <w:r>
        <w:t>support</w:t>
      </w:r>
      <w:r w:rsidRPr="000D1A7A">
        <w:rPr>
          <w:spacing w:val="3"/>
        </w:rPr>
        <w:t xml:space="preserve"> </w:t>
      </w:r>
      <w:r>
        <w:t>of</w:t>
      </w:r>
      <w:r w:rsidRPr="000D1A7A">
        <w:rPr>
          <w:spacing w:val="3"/>
        </w:rPr>
        <w:t xml:space="preserve"> </w:t>
      </w:r>
      <w:r>
        <w:t>the</w:t>
      </w:r>
      <w:r w:rsidRPr="000D1A7A">
        <w:rPr>
          <w:spacing w:val="43"/>
        </w:rPr>
        <w:t xml:space="preserve"> </w:t>
      </w:r>
      <w:r>
        <w:t>Stipulation.</w:t>
      </w:r>
    </w:p>
    <w:p w14:paraId="73CC5E3B" w14:textId="47BE6624" w:rsidR="00B110EA" w:rsidRPr="004153DC" w:rsidRDefault="000D1A7A" w:rsidP="001C3491">
      <w:pPr>
        <w:pStyle w:val="BodyText"/>
        <w:numPr>
          <w:ilvl w:val="0"/>
          <w:numId w:val="8"/>
        </w:numPr>
        <w:tabs>
          <w:tab w:val="left" w:pos="820"/>
        </w:tabs>
        <w:spacing w:before="69" w:line="360" w:lineRule="auto"/>
        <w:ind w:left="540" w:hanging="540"/>
        <w:jc w:val="both"/>
      </w:pPr>
      <w:r>
        <w:lastRenderedPageBreak/>
        <w:t xml:space="preserve">On </w:t>
      </w:r>
      <w:r w:rsidR="00F136D3">
        <w:rPr>
          <w:spacing w:val="-1"/>
        </w:rPr>
        <w:t>May 10</w:t>
      </w:r>
      <w:r w:rsidR="00B52029">
        <w:rPr>
          <w:spacing w:val="-1"/>
        </w:rPr>
        <w:t>, 2023</w:t>
      </w:r>
      <w:r>
        <w:t xml:space="preserve">, ETI filed a joint motion to admit evidence and remand the proceeding to the Commission.  </w:t>
      </w:r>
    </w:p>
    <w:p w14:paraId="5BE6F810" w14:textId="7F6D231D" w:rsidR="001F0CC1" w:rsidRDefault="000D1A7A" w:rsidP="001C3491">
      <w:pPr>
        <w:pStyle w:val="BodyText"/>
        <w:numPr>
          <w:ilvl w:val="0"/>
          <w:numId w:val="8"/>
        </w:numPr>
        <w:tabs>
          <w:tab w:val="left" w:pos="820"/>
        </w:tabs>
        <w:spacing w:before="69" w:line="360" w:lineRule="auto"/>
        <w:ind w:left="540" w:hanging="540"/>
        <w:jc w:val="both"/>
      </w:pPr>
      <w:r>
        <w:t xml:space="preserve">On </w:t>
      </w:r>
      <w:r w:rsidR="003C7160">
        <w:rPr>
          <w:spacing w:val="-1"/>
        </w:rPr>
        <w:t>___________</w:t>
      </w:r>
      <w:r w:rsidR="003C7160">
        <w:rPr>
          <w:u w:val="single"/>
        </w:rPr>
        <w:t>,</w:t>
      </w:r>
      <w:r w:rsidR="003C7160" w:rsidRPr="003C7160">
        <w:t xml:space="preserve"> </w:t>
      </w:r>
      <w:r w:rsidR="0079305A">
        <w:t xml:space="preserve">the </w:t>
      </w:r>
      <w:r>
        <w:t>SOAH</w:t>
      </w:r>
      <w:r w:rsidRPr="000D1A7A">
        <w:rPr>
          <w:spacing w:val="40"/>
        </w:rPr>
        <w:t xml:space="preserve"> </w:t>
      </w:r>
      <w:r w:rsidR="00357CAD">
        <w:t>ALJs i</w:t>
      </w:r>
      <w:r>
        <w:t>ssued</w:t>
      </w:r>
      <w:r w:rsidRPr="000D1A7A">
        <w:rPr>
          <w:spacing w:val="40"/>
        </w:rPr>
        <w:t xml:space="preserve"> </w:t>
      </w:r>
      <w:r w:rsidR="00247F73">
        <w:t>SOAH O</w:t>
      </w:r>
      <w:r w:rsidRPr="000D1A7A">
        <w:rPr>
          <w:spacing w:val="-1"/>
        </w:rPr>
        <w:t>rder</w:t>
      </w:r>
      <w:r w:rsidRPr="000D1A7A">
        <w:rPr>
          <w:spacing w:val="39"/>
        </w:rPr>
        <w:t xml:space="preserve"> </w:t>
      </w:r>
      <w:r w:rsidRPr="000D1A7A">
        <w:rPr>
          <w:spacing w:val="-1"/>
        </w:rPr>
        <w:t xml:space="preserve">No. </w:t>
      </w:r>
      <w:r>
        <w:t>___ granting</w:t>
      </w:r>
      <w:r w:rsidRPr="000D1A7A">
        <w:rPr>
          <w:spacing w:val="40"/>
        </w:rPr>
        <w:t xml:space="preserve"> </w:t>
      </w:r>
      <w:r>
        <w:t>ETI’s</w:t>
      </w:r>
      <w:r w:rsidRPr="000D1A7A">
        <w:rPr>
          <w:spacing w:val="40"/>
        </w:rPr>
        <w:t xml:space="preserve"> </w:t>
      </w:r>
      <w:r>
        <w:t>agreed</w:t>
      </w:r>
      <w:r w:rsidRPr="000D1A7A">
        <w:rPr>
          <w:spacing w:val="40"/>
        </w:rPr>
        <w:t xml:space="preserve"> </w:t>
      </w:r>
      <w:r w:rsidRPr="000D1A7A">
        <w:rPr>
          <w:spacing w:val="-1"/>
        </w:rPr>
        <w:t>motion</w:t>
      </w:r>
      <w:r w:rsidRPr="000D1A7A">
        <w:rPr>
          <w:spacing w:val="41"/>
        </w:rPr>
        <w:t xml:space="preserve"> </w:t>
      </w:r>
      <w:r>
        <w:t>to</w:t>
      </w:r>
      <w:r w:rsidRPr="000D1A7A">
        <w:rPr>
          <w:spacing w:val="39"/>
        </w:rPr>
        <w:t xml:space="preserve"> </w:t>
      </w:r>
      <w:r w:rsidRPr="000D1A7A">
        <w:rPr>
          <w:spacing w:val="-1"/>
        </w:rPr>
        <w:t>establish i</w:t>
      </w:r>
      <w:r>
        <w:t>nterim</w:t>
      </w:r>
      <w:r w:rsidRPr="000D1A7A">
        <w:rPr>
          <w:spacing w:val="-2"/>
        </w:rPr>
        <w:t xml:space="preserve"> </w:t>
      </w:r>
      <w:r>
        <w:t xml:space="preserve">rates pending a final </w:t>
      </w:r>
      <w:r w:rsidRPr="000D1A7A">
        <w:rPr>
          <w:spacing w:val="-1"/>
        </w:rPr>
        <w:t>Commission</w:t>
      </w:r>
      <w:r>
        <w:t xml:space="preserve"> ruling in this </w:t>
      </w:r>
      <w:r w:rsidRPr="000D1A7A">
        <w:rPr>
          <w:spacing w:val="-1"/>
        </w:rPr>
        <w:t>matter.</w:t>
      </w:r>
    </w:p>
    <w:p w14:paraId="2C07F864" w14:textId="18E9192E" w:rsidR="00363B18" w:rsidRDefault="00363B18" w:rsidP="001C3491">
      <w:pPr>
        <w:pStyle w:val="BodyText"/>
        <w:numPr>
          <w:ilvl w:val="0"/>
          <w:numId w:val="8"/>
        </w:numPr>
        <w:tabs>
          <w:tab w:val="left" w:pos="820"/>
        </w:tabs>
        <w:spacing w:before="138" w:line="360" w:lineRule="auto"/>
        <w:ind w:left="540" w:hanging="540"/>
        <w:jc w:val="both"/>
        <w:rPr>
          <w:spacing w:val="-1"/>
        </w:rPr>
      </w:pPr>
      <w:r>
        <w:t>On</w:t>
      </w:r>
      <w:r w:rsidRPr="00D019C8">
        <w:rPr>
          <w:spacing w:val="13"/>
        </w:rPr>
        <w:t xml:space="preserve"> </w:t>
      </w:r>
      <w:r w:rsidR="00A24F1F">
        <w:rPr>
          <w:spacing w:val="-1"/>
        </w:rPr>
        <w:t xml:space="preserve">___________, </w:t>
      </w:r>
      <w:r w:rsidR="00247F73">
        <w:t xml:space="preserve">the </w:t>
      </w:r>
      <w:r>
        <w:t>SOAH</w:t>
      </w:r>
      <w:r w:rsidR="00247F73">
        <w:t xml:space="preserve"> ALJs</w:t>
      </w:r>
      <w:r w:rsidRPr="00D019C8">
        <w:rPr>
          <w:spacing w:val="13"/>
        </w:rPr>
        <w:t xml:space="preserve"> </w:t>
      </w:r>
      <w:r>
        <w:t>issued</w:t>
      </w:r>
      <w:r w:rsidRPr="00D019C8">
        <w:rPr>
          <w:spacing w:val="13"/>
        </w:rPr>
        <w:t xml:space="preserve"> </w:t>
      </w:r>
      <w:r w:rsidR="00E05465">
        <w:t>SOAH O</w:t>
      </w:r>
      <w:r w:rsidRPr="00D019C8">
        <w:rPr>
          <w:spacing w:val="-1"/>
        </w:rPr>
        <w:t>rder</w:t>
      </w:r>
      <w:r w:rsidRPr="00D019C8">
        <w:rPr>
          <w:spacing w:val="13"/>
        </w:rPr>
        <w:t xml:space="preserve"> </w:t>
      </w:r>
      <w:r w:rsidRPr="00D019C8">
        <w:rPr>
          <w:spacing w:val="-1"/>
        </w:rPr>
        <w:t>No.</w:t>
      </w:r>
      <w:r>
        <w:t xml:space="preserve"> ___,</w:t>
      </w:r>
      <w:r w:rsidRPr="00D019C8">
        <w:rPr>
          <w:spacing w:val="13"/>
        </w:rPr>
        <w:t xml:space="preserve"> </w:t>
      </w:r>
      <w:r w:rsidRPr="00D019C8">
        <w:rPr>
          <w:spacing w:val="-1"/>
        </w:rPr>
        <w:t>admitting</w:t>
      </w:r>
      <w:r w:rsidRPr="00D019C8">
        <w:rPr>
          <w:spacing w:val="13"/>
        </w:rPr>
        <w:t xml:space="preserve"> </w:t>
      </w:r>
      <w:r>
        <w:t>evidence,</w:t>
      </w:r>
      <w:r w:rsidRPr="00D019C8">
        <w:rPr>
          <w:spacing w:val="13"/>
        </w:rPr>
        <w:t xml:space="preserve"> </w:t>
      </w:r>
      <w:r w:rsidRPr="00D019C8">
        <w:rPr>
          <w:spacing w:val="-1"/>
        </w:rPr>
        <w:t>remanding</w:t>
      </w:r>
      <w:r w:rsidRPr="00D019C8">
        <w:rPr>
          <w:spacing w:val="13"/>
        </w:rPr>
        <w:t xml:space="preserve"> </w:t>
      </w:r>
      <w:r>
        <w:t>the</w:t>
      </w:r>
      <w:r w:rsidRPr="00D019C8">
        <w:rPr>
          <w:spacing w:val="13"/>
        </w:rPr>
        <w:t xml:space="preserve"> </w:t>
      </w:r>
      <w:r w:rsidRPr="00D019C8">
        <w:rPr>
          <w:spacing w:val="-1"/>
        </w:rPr>
        <w:t xml:space="preserve">proceeding </w:t>
      </w:r>
      <w:r>
        <w:t xml:space="preserve">to the </w:t>
      </w:r>
      <w:r w:rsidRPr="00D019C8">
        <w:rPr>
          <w:spacing w:val="-1"/>
        </w:rPr>
        <w:t>Commission,</w:t>
      </w:r>
      <w:r>
        <w:t xml:space="preserve"> and </w:t>
      </w:r>
      <w:r w:rsidRPr="00D019C8">
        <w:rPr>
          <w:spacing w:val="-1"/>
        </w:rPr>
        <w:t>dismissing</w:t>
      </w:r>
      <w:r>
        <w:t xml:space="preserve"> the </w:t>
      </w:r>
      <w:r w:rsidRPr="00D019C8">
        <w:rPr>
          <w:spacing w:val="-1"/>
        </w:rPr>
        <w:t>matter</w:t>
      </w:r>
      <w:r>
        <w:t xml:space="preserve"> from</w:t>
      </w:r>
      <w:r w:rsidRPr="00D019C8">
        <w:rPr>
          <w:spacing w:val="-2"/>
        </w:rPr>
        <w:t xml:space="preserve"> </w:t>
      </w:r>
      <w:r>
        <w:t xml:space="preserve">the SOAH </w:t>
      </w:r>
      <w:r w:rsidRPr="00D019C8">
        <w:rPr>
          <w:spacing w:val="-1"/>
        </w:rPr>
        <w:t>docket.</w:t>
      </w:r>
    </w:p>
    <w:p w14:paraId="1188A3CB" w14:textId="0453D028" w:rsidR="00A57F8F" w:rsidRDefault="00FE649A" w:rsidP="0086611A">
      <w:pPr>
        <w:pStyle w:val="Subtitle"/>
      </w:pPr>
      <w:r>
        <w:t>Preliminary Order Issue Nos. 68 and 69</w:t>
      </w:r>
      <w:r w:rsidR="002476D7">
        <w:t xml:space="preserve"> – Transportation Electrification</w:t>
      </w:r>
    </w:p>
    <w:p w14:paraId="005FBAB9" w14:textId="03FC4ABB" w:rsidR="00376F3A" w:rsidRPr="00E018DC" w:rsidRDefault="00376F3A" w:rsidP="00376F3A">
      <w:pPr>
        <w:pStyle w:val="BodyText"/>
        <w:numPr>
          <w:ilvl w:val="0"/>
          <w:numId w:val="8"/>
        </w:numPr>
        <w:tabs>
          <w:tab w:val="left" w:pos="820"/>
        </w:tabs>
        <w:spacing w:before="138" w:line="360" w:lineRule="auto"/>
        <w:ind w:left="540" w:hanging="540"/>
        <w:jc w:val="both"/>
      </w:pPr>
      <w:r>
        <w:rPr>
          <w:spacing w:val="-1"/>
        </w:rPr>
        <w:t xml:space="preserve">On December 16, 2022, ETI filed a joint motion to admit evidence </w:t>
      </w:r>
      <w:r w:rsidR="00B448C5">
        <w:rPr>
          <w:spacing w:val="-1"/>
        </w:rPr>
        <w:t xml:space="preserve">related to Preliminary Order Issue Nos. 68 and 69 </w:t>
      </w:r>
      <w:r>
        <w:rPr>
          <w:spacing w:val="-1"/>
        </w:rPr>
        <w:t xml:space="preserve">on behalf of the parties.  </w:t>
      </w:r>
    </w:p>
    <w:p w14:paraId="738B0E91" w14:textId="77777777" w:rsidR="00376F3A" w:rsidRPr="00AF2D0D" w:rsidRDefault="00376F3A" w:rsidP="00376F3A">
      <w:pPr>
        <w:pStyle w:val="BodyText"/>
        <w:numPr>
          <w:ilvl w:val="0"/>
          <w:numId w:val="8"/>
        </w:numPr>
        <w:tabs>
          <w:tab w:val="left" w:pos="820"/>
        </w:tabs>
        <w:spacing w:before="138" w:line="360" w:lineRule="auto"/>
        <w:ind w:left="540" w:hanging="540"/>
        <w:jc w:val="both"/>
      </w:pPr>
      <w:r>
        <w:t>On December 28, 2022, the SOAH ALJs issued</w:t>
      </w:r>
      <w:r>
        <w:rPr>
          <w:spacing w:val="-1"/>
        </w:rPr>
        <w:t xml:space="preserve"> SOAH Order No. </w:t>
      </w:r>
      <w:r>
        <w:t>14 granting the joint motion to admit evidence</w:t>
      </w:r>
      <w:r>
        <w:rPr>
          <w:spacing w:val="-1"/>
        </w:rPr>
        <w:t>.</w:t>
      </w:r>
    </w:p>
    <w:p w14:paraId="192BA6E8" w14:textId="13B317F5" w:rsidR="002A7042" w:rsidRPr="00E018DC" w:rsidRDefault="002A7042" w:rsidP="00376F3A">
      <w:pPr>
        <w:pStyle w:val="BodyText"/>
        <w:numPr>
          <w:ilvl w:val="0"/>
          <w:numId w:val="8"/>
        </w:numPr>
        <w:tabs>
          <w:tab w:val="left" w:pos="820"/>
        </w:tabs>
        <w:spacing w:before="138" w:line="360" w:lineRule="auto"/>
        <w:ind w:left="540" w:hanging="540"/>
        <w:jc w:val="both"/>
      </w:pPr>
      <w:r>
        <w:rPr>
          <w:spacing w:val="-1"/>
        </w:rPr>
        <w:t>[Placeholder for additional findings</w:t>
      </w:r>
      <w:r w:rsidR="00AF2D0D">
        <w:rPr>
          <w:spacing w:val="-1"/>
        </w:rPr>
        <w:t>]</w:t>
      </w:r>
    </w:p>
    <w:p w14:paraId="6462654F" w14:textId="38BAB5D5" w:rsidR="00942256" w:rsidRDefault="00942256" w:rsidP="00942256"/>
    <w:p w14:paraId="15E09E11" w14:textId="3A8EC0D6" w:rsidR="00951A57" w:rsidRPr="00497406" w:rsidRDefault="00951A57" w:rsidP="0086611A">
      <w:pPr>
        <w:pStyle w:val="Subtitle"/>
      </w:pPr>
      <w:r w:rsidRPr="00F85736">
        <w:t>Good-Cause Exception to</w:t>
      </w:r>
      <w:r w:rsidRPr="00F85736">
        <w:rPr>
          <w:spacing w:val="4"/>
        </w:rPr>
        <w:t xml:space="preserve"> </w:t>
      </w:r>
      <w:r w:rsidRPr="00F85736">
        <w:t>Certain</w:t>
      </w:r>
      <w:r w:rsidRPr="00F85736">
        <w:rPr>
          <w:spacing w:val="7"/>
        </w:rPr>
        <w:t xml:space="preserve"> </w:t>
      </w:r>
      <w:r w:rsidRPr="00F85736">
        <w:t>Filing</w:t>
      </w:r>
      <w:r w:rsidRPr="00F85736">
        <w:rPr>
          <w:spacing w:val="7"/>
        </w:rPr>
        <w:t xml:space="preserve"> </w:t>
      </w:r>
      <w:r w:rsidRPr="00F85736">
        <w:t>Requirements</w:t>
      </w:r>
    </w:p>
    <w:p w14:paraId="2B6AD310" w14:textId="00F79912" w:rsidR="00951A57" w:rsidRPr="0068003F" w:rsidRDefault="008658D7" w:rsidP="001C3491">
      <w:pPr>
        <w:pStyle w:val="BodyText"/>
        <w:numPr>
          <w:ilvl w:val="0"/>
          <w:numId w:val="8"/>
        </w:numPr>
        <w:tabs>
          <w:tab w:val="left" w:pos="820"/>
        </w:tabs>
        <w:spacing w:before="138" w:line="360" w:lineRule="auto"/>
        <w:ind w:left="540" w:hanging="540"/>
        <w:jc w:val="both"/>
      </w:pPr>
      <w:r w:rsidRPr="00FC2757">
        <w:t>In</w:t>
      </w:r>
      <w:r w:rsidRPr="00A64565">
        <w:t xml:space="preserve"> its application, ETI requested a good-cause exception to the requirement in 16 Texas</w:t>
      </w:r>
      <w:r w:rsidRPr="00A64565">
        <w:rPr>
          <w:w w:val="101"/>
        </w:rPr>
        <w:t xml:space="preserve"> </w:t>
      </w:r>
      <w:r w:rsidRPr="00A64565">
        <w:t>Administrative Code (TAC) § 22.243(b) to file the schedules and work papers required by</w:t>
      </w:r>
      <w:r w:rsidRPr="00A64565">
        <w:rPr>
          <w:w w:val="102"/>
        </w:rPr>
        <w:t xml:space="preserve"> </w:t>
      </w:r>
      <w:r w:rsidRPr="00A64565">
        <w:t>the Commission</w:t>
      </w:r>
      <w:r>
        <w:t>’</w:t>
      </w:r>
      <w:r w:rsidRPr="00A64565">
        <w:t>s rate filing package.  ETI specifically requested waivers for the</w:t>
      </w:r>
      <w:r w:rsidRPr="00A64565">
        <w:rPr>
          <w:w w:val="101"/>
        </w:rPr>
        <w:t xml:space="preserve"> </w:t>
      </w:r>
      <w:r>
        <w:t>following: (a</w:t>
      </w:r>
      <w:r w:rsidRPr="00A64565">
        <w:t>) not to include forecasted fuel</w:t>
      </w:r>
      <w:r w:rsidRPr="00A64565">
        <w:rPr>
          <w:w w:val="99"/>
        </w:rPr>
        <w:t xml:space="preserve"> </w:t>
      </w:r>
      <w:r w:rsidRPr="00A64565">
        <w:t>information because ETI was not seeking to revise its fuel factor in this proceeding; (</w:t>
      </w:r>
      <w:r>
        <w:t>b</w:t>
      </w:r>
      <w:r w:rsidRPr="00A64565">
        <w:t>) not</w:t>
      </w:r>
      <w:r w:rsidRPr="00A64565">
        <w:rPr>
          <w:w w:val="98"/>
        </w:rPr>
        <w:t xml:space="preserve"> </w:t>
      </w:r>
      <w:r w:rsidRPr="00A64565">
        <w:t>to provide schedules that pertain exclusively to historical, reconcilable fuel costs and</w:t>
      </w:r>
      <w:r w:rsidRPr="00A64565">
        <w:rPr>
          <w:w w:val="99"/>
        </w:rPr>
        <w:t xml:space="preserve"> </w:t>
      </w:r>
      <w:r w:rsidRPr="00A64565">
        <w:t>revenues in light of the Commission’s determination in Project No. 41905 that fuel</w:t>
      </w:r>
      <w:r w:rsidRPr="00A64565">
        <w:rPr>
          <w:w w:val="99"/>
        </w:rPr>
        <w:t xml:space="preserve"> </w:t>
      </w:r>
      <w:r w:rsidRPr="00A64565">
        <w:t>reconciliation cases are separately filed proceedings;</w:t>
      </w:r>
      <w:r w:rsidRPr="00A64565">
        <w:rPr>
          <w:rStyle w:val="FootnoteReference"/>
          <w:rFonts w:cs="Times New Roman"/>
        </w:rPr>
        <w:footnoteReference w:id="2"/>
      </w:r>
      <w:r w:rsidRPr="00A64565">
        <w:t xml:space="preserve"> (</w:t>
      </w:r>
      <w:r>
        <w:t>c</w:t>
      </w:r>
      <w:r w:rsidRPr="00A64565">
        <w:t>) not to include</w:t>
      </w:r>
      <w:r w:rsidRPr="00A64565">
        <w:rPr>
          <w:w w:val="101"/>
        </w:rPr>
        <w:t xml:space="preserve"> </w:t>
      </w:r>
      <w:r w:rsidRPr="00A64565">
        <w:t>energy-efficiency information under schedule N in light of the requirements of PURA</w:t>
      </w:r>
      <w:r w:rsidRPr="00A64565">
        <w:rPr>
          <w:rStyle w:val="FootnoteReference"/>
          <w:rFonts w:cs="Times New Roman"/>
        </w:rPr>
        <w:footnoteReference w:id="3"/>
      </w:r>
      <w:r w:rsidRPr="0081700C">
        <w:t xml:space="preserve"> </w:t>
      </w:r>
      <w:r w:rsidRPr="00A64565">
        <w:t>§</w:t>
      </w:r>
      <w:r>
        <w:rPr>
          <w:spacing w:val="-12"/>
        </w:rPr>
        <w:t> </w:t>
      </w:r>
      <w:r w:rsidRPr="00A64565">
        <w:t>39.905</w:t>
      </w:r>
      <w:r w:rsidRPr="00A64565">
        <w:rPr>
          <w:spacing w:val="9"/>
        </w:rPr>
        <w:t xml:space="preserve"> </w:t>
      </w:r>
      <w:r w:rsidRPr="00A64565">
        <w:t>and</w:t>
      </w:r>
      <w:r w:rsidRPr="00A64565">
        <w:rPr>
          <w:spacing w:val="22"/>
        </w:rPr>
        <w:t xml:space="preserve"> </w:t>
      </w:r>
      <w:r w:rsidRPr="00A64565">
        <w:t>16</w:t>
      </w:r>
      <w:r w:rsidRPr="00A64565">
        <w:rPr>
          <w:spacing w:val="-23"/>
        </w:rPr>
        <w:t xml:space="preserve"> </w:t>
      </w:r>
      <w:r w:rsidRPr="00A64565">
        <w:t>TAC</w:t>
      </w:r>
      <w:r w:rsidRPr="00A64565">
        <w:rPr>
          <w:spacing w:val="15"/>
        </w:rPr>
        <w:t xml:space="preserve"> </w:t>
      </w:r>
      <w:r w:rsidRPr="00A64565">
        <w:t>§</w:t>
      </w:r>
      <w:r w:rsidRPr="00A64565">
        <w:rPr>
          <w:spacing w:val="-18"/>
        </w:rPr>
        <w:t xml:space="preserve"> </w:t>
      </w:r>
      <w:r w:rsidRPr="00A64565">
        <w:t>25.18</w:t>
      </w:r>
      <w:r>
        <w:t>2</w:t>
      </w:r>
      <w:r w:rsidRPr="00A64565">
        <w:t>;</w:t>
      </w:r>
      <w:r w:rsidR="004153DC">
        <w:t xml:space="preserve"> </w:t>
      </w:r>
      <w:r>
        <w:t xml:space="preserve">(d) </w:t>
      </w:r>
      <w:r w:rsidRPr="00A64565">
        <w:t>not to include schedule S regarding test-year review</w:t>
      </w:r>
      <w:r w:rsidR="004153DC">
        <w:t xml:space="preserve"> </w:t>
      </w:r>
      <w:r w:rsidRPr="00A64565">
        <w:t xml:space="preserve">– a waiver that the Commission granted to ETI in Docket No. </w:t>
      </w:r>
      <w:r>
        <w:lastRenderedPageBreak/>
        <w:t>52851</w:t>
      </w:r>
      <w:r w:rsidRPr="00A64565">
        <w:t>;</w:t>
      </w:r>
      <w:r w:rsidRPr="00A64565">
        <w:rPr>
          <w:rStyle w:val="FootnoteReference"/>
          <w:rFonts w:cs="Times New Roman"/>
        </w:rPr>
        <w:footnoteReference w:id="4"/>
      </w:r>
      <w:r w:rsidRPr="00A64565">
        <w:t xml:space="preserve"> </w:t>
      </w:r>
      <w:r>
        <w:t xml:space="preserve">and </w:t>
      </w:r>
      <w:r w:rsidRPr="00A64565">
        <w:t>(g) to use the Commission</w:t>
      </w:r>
      <w:r>
        <w:t>’</w:t>
      </w:r>
      <w:r w:rsidRPr="00A64565">
        <w:t>s standard protective order rather than the confidentiality disclosure agreement in the rate filing package because the standard protective order better reflects current Commission practice</w:t>
      </w:r>
      <w:r>
        <w:t>.</w:t>
      </w:r>
    </w:p>
    <w:p w14:paraId="169DADC2" w14:textId="5A469C81" w:rsidR="008658D7" w:rsidRPr="00D019C8" w:rsidRDefault="008658D7" w:rsidP="001C3491">
      <w:pPr>
        <w:pStyle w:val="BodyText"/>
        <w:numPr>
          <w:ilvl w:val="0"/>
          <w:numId w:val="8"/>
        </w:numPr>
        <w:tabs>
          <w:tab w:val="left" w:pos="820"/>
        </w:tabs>
        <w:spacing w:before="138" w:line="360" w:lineRule="auto"/>
        <w:ind w:left="540" w:hanging="540"/>
        <w:jc w:val="both"/>
        <w:rPr>
          <w:spacing w:val="-1"/>
        </w:rPr>
      </w:pPr>
      <w:r>
        <w:t xml:space="preserve">The specific facts of this docket constitute good cause under 16 TAC § 22.5(b) to except ETI from compliance with the requirements of 16 TAC § 22.243(b) to the extent described in schedule V of ETI’s </w:t>
      </w:r>
      <w:r w:rsidR="004153DC">
        <w:t>A</w:t>
      </w:r>
      <w:r>
        <w:t>pplication, as modified by this Order.</w:t>
      </w:r>
    </w:p>
    <w:p w14:paraId="1FD5FEB9" w14:textId="215D86CE" w:rsidR="00B110EA" w:rsidRPr="0065105F" w:rsidRDefault="002F6029" w:rsidP="0086611A">
      <w:pPr>
        <w:pStyle w:val="Heading2"/>
        <w:spacing w:before="189"/>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Revenue Requirement, Base Rates, GCRR, TCRF, and DCRF</w:t>
      </w:r>
    </w:p>
    <w:p w14:paraId="2630B802" w14:textId="137B7957" w:rsidR="00363B18" w:rsidRDefault="00363B18" w:rsidP="001C3491">
      <w:pPr>
        <w:pStyle w:val="BodyText"/>
        <w:numPr>
          <w:ilvl w:val="0"/>
          <w:numId w:val="8"/>
        </w:numPr>
        <w:tabs>
          <w:tab w:val="left" w:pos="820"/>
        </w:tabs>
        <w:spacing w:before="135" w:line="360" w:lineRule="auto"/>
        <w:ind w:left="540" w:hanging="540"/>
        <w:jc w:val="both"/>
      </w:pPr>
      <w:r>
        <w:rPr>
          <w:spacing w:val="-1"/>
        </w:rPr>
        <w:t>The</w:t>
      </w:r>
      <w:r>
        <w:rPr>
          <w:spacing w:val="-7"/>
        </w:rPr>
        <w:t xml:space="preserve"> </w:t>
      </w:r>
      <w:r>
        <w:rPr>
          <w:spacing w:val="-1"/>
        </w:rPr>
        <w:t>Stipulation</w:t>
      </w:r>
      <w:r>
        <w:rPr>
          <w:spacing w:val="-7"/>
        </w:rPr>
        <w:t xml:space="preserve"> </w:t>
      </w:r>
      <w:r>
        <w:rPr>
          <w:spacing w:val="-1"/>
        </w:rPr>
        <w:t>provides</w:t>
      </w:r>
      <w:r>
        <w:rPr>
          <w:spacing w:val="-7"/>
        </w:rPr>
        <w:t xml:space="preserve"> </w:t>
      </w:r>
      <w:r>
        <w:rPr>
          <w:spacing w:val="-1"/>
        </w:rPr>
        <w:t>for</w:t>
      </w:r>
      <w:r>
        <w:rPr>
          <w:spacing w:val="-7"/>
        </w:rPr>
        <w:t xml:space="preserve"> </w:t>
      </w:r>
      <w:r>
        <w:rPr>
          <w:spacing w:val="-1"/>
        </w:rPr>
        <w:t>an</w:t>
      </w:r>
      <w:r>
        <w:rPr>
          <w:spacing w:val="-7"/>
        </w:rPr>
        <w:t xml:space="preserve"> </w:t>
      </w:r>
      <w:r>
        <w:t>overall</w:t>
      </w:r>
      <w:r>
        <w:rPr>
          <w:spacing w:val="-6"/>
        </w:rPr>
        <w:t xml:space="preserve"> </w:t>
      </w:r>
      <w:r>
        <w:rPr>
          <w:spacing w:val="-1"/>
        </w:rPr>
        <w:t>increase</w:t>
      </w:r>
      <w:r>
        <w:rPr>
          <w:spacing w:val="-6"/>
        </w:rPr>
        <w:t xml:space="preserve"> </w:t>
      </w:r>
      <w:r>
        <w:t>in</w:t>
      </w:r>
      <w:r>
        <w:rPr>
          <w:spacing w:val="-8"/>
        </w:rPr>
        <w:t xml:space="preserve"> </w:t>
      </w:r>
      <w:r>
        <w:t>base</w:t>
      </w:r>
      <w:r>
        <w:rPr>
          <w:spacing w:val="-6"/>
        </w:rPr>
        <w:t xml:space="preserve"> </w:t>
      </w:r>
      <w:r>
        <w:rPr>
          <w:spacing w:val="-1"/>
        </w:rPr>
        <w:t>rate</w:t>
      </w:r>
      <w:r>
        <w:rPr>
          <w:spacing w:val="-6"/>
        </w:rPr>
        <w:t xml:space="preserve"> </w:t>
      </w:r>
      <w:r>
        <w:rPr>
          <w:spacing w:val="-1"/>
        </w:rPr>
        <w:t>revenues</w:t>
      </w:r>
      <w:r>
        <w:rPr>
          <w:spacing w:val="-6"/>
        </w:rPr>
        <w:t xml:space="preserve"> </w:t>
      </w:r>
      <w:r>
        <w:t>of</w:t>
      </w:r>
      <w:r>
        <w:rPr>
          <w:spacing w:val="-6"/>
        </w:rPr>
        <w:t xml:space="preserve"> </w:t>
      </w:r>
      <w:r>
        <w:t>$</w:t>
      </w:r>
      <w:r w:rsidR="00F824C9">
        <w:t>54</w:t>
      </w:r>
      <w:r>
        <w:rPr>
          <w:spacing w:val="-5"/>
        </w:rPr>
        <w:t xml:space="preserve"> </w:t>
      </w:r>
      <w:r>
        <w:rPr>
          <w:spacing w:val="-1"/>
        </w:rPr>
        <w:t>million,</w:t>
      </w:r>
      <w:r>
        <w:rPr>
          <w:spacing w:val="-8"/>
        </w:rPr>
        <w:t xml:space="preserve"> </w:t>
      </w:r>
      <w:r w:rsidR="00E04B66">
        <w:rPr>
          <w:spacing w:val="-8"/>
        </w:rPr>
        <w:t>e</w:t>
      </w:r>
      <w:r w:rsidR="00E325E4">
        <w:rPr>
          <w:spacing w:val="-8"/>
        </w:rPr>
        <w:t>xclusive of, and incremental to</w:t>
      </w:r>
      <w:r w:rsidR="00E04B66">
        <w:rPr>
          <w:spacing w:val="-8"/>
        </w:rPr>
        <w:t xml:space="preserve">, costs </w:t>
      </w:r>
      <w:r w:rsidRPr="00E325E4">
        <w:t>being</w:t>
      </w:r>
      <w:r w:rsidRPr="00E325E4">
        <w:rPr>
          <w:spacing w:val="38"/>
        </w:rPr>
        <w:t xml:space="preserve"> </w:t>
      </w:r>
      <w:r w:rsidRPr="00E325E4">
        <w:t>realigned</w:t>
      </w:r>
      <w:r w:rsidRPr="00E325E4">
        <w:rPr>
          <w:spacing w:val="38"/>
        </w:rPr>
        <w:t xml:space="preserve"> </w:t>
      </w:r>
      <w:r w:rsidRPr="00E325E4">
        <w:t>from</w:t>
      </w:r>
      <w:r w:rsidRPr="00E325E4">
        <w:rPr>
          <w:spacing w:val="38"/>
        </w:rPr>
        <w:t xml:space="preserve"> </w:t>
      </w:r>
      <w:r w:rsidRPr="00E325E4">
        <w:t>ETI’s</w:t>
      </w:r>
      <w:r w:rsidR="00E04B66" w:rsidRPr="00E325E4">
        <w:t xml:space="preserve"> Generation Cost Recovery Rider (GCRR)</w:t>
      </w:r>
      <w:r w:rsidR="003012EF">
        <w:t>,</w:t>
      </w:r>
      <w:r w:rsidRPr="00E325E4">
        <w:rPr>
          <w:spacing w:val="38"/>
        </w:rPr>
        <w:t xml:space="preserve"> </w:t>
      </w:r>
      <w:r w:rsidRPr="00E325E4">
        <w:rPr>
          <w:spacing w:val="-1"/>
        </w:rPr>
        <w:t>Transmission</w:t>
      </w:r>
      <w:r w:rsidRPr="00E325E4">
        <w:rPr>
          <w:spacing w:val="38"/>
        </w:rPr>
        <w:t xml:space="preserve"> </w:t>
      </w:r>
      <w:r w:rsidRPr="00E325E4">
        <w:t>Cost</w:t>
      </w:r>
      <w:r w:rsidRPr="00E325E4">
        <w:rPr>
          <w:spacing w:val="38"/>
        </w:rPr>
        <w:t xml:space="preserve"> </w:t>
      </w:r>
      <w:r w:rsidRPr="00E325E4">
        <w:rPr>
          <w:spacing w:val="-1"/>
        </w:rPr>
        <w:t>Recovery</w:t>
      </w:r>
      <w:r w:rsidRPr="00E325E4">
        <w:rPr>
          <w:spacing w:val="38"/>
        </w:rPr>
        <w:t xml:space="preserve"> </w:t>
      </w:r>
      <w:r w:rsidRPr="00E325E4">
        <w:t>Factor</w:t>
      </w:r>
      <w:r w:rsidRPr="00E325E4">
        <w:rPr>
          <w:spacing w:val="38"/>
        </w:rPr>
        <w:t xml:space="preserve"> </w:t>
      </w:r>
      <w:r w:rsidRPr="00E325E4">
        <w:t>(TCRF)</w:t>
      </w:r>
      <w:r w:rsidR="003012EF">
        <w:t>,</w:t>
      </w:r>
      <w:r w:rsidRPr="00E325E4">
        <w:rPr>
          <w:spacing w:val="38"/>
        </w:rPr>
        <w:t xml:space="preserve"> </w:t>
      </w:r>
      <w:r w:rsidRPr="00E325E4">
        <w:t>and</w:t>
      </w:r>
      <w:r w:rsidRPr="00E325E4">
        <w:rPr>
          <w:spacing w:val="35"/>
        </w:rPr>
        <w:t xml:space="preserve"> </w:t>
      </w:r>
      <w:r w:rsidRPr="00E325E4">
        <w:rPr>
          <w:spacing w:val="-1"/>
        </w:rPr>
        <w:t>Distribution</w:t>
      </w:r>
      <w:r w:rsidRPr="00E325E4">
        <w:rPr>
          <w:spacing w:val="8"/>
        </w:rPr>
        <w:t xml:space="preserve"> </w:t>
      </w:r>
      <w:r w:rsidRPr="00E325E4">
        <w:t>Cost</w:t>
      </w:r>
      <w:r w:rsidRPr="00E325E4">
        <w:rPr>
          <w:spacing w:val="9"/>
        </w:rPr>
        <w:t xml:space="preserve"> </w:t>
      </w:r>
      <w:r w:rsidRPr="00E325E4">
        <w:rPr>
          <w:spacing w:val="-1"/>
        </w:rPr>
        <w:t>Recovery</w:t>
      </w:r>
      <w:r w:rsidRPr="00E325E4">
        <w:rPr>
          <w:spacing w:val="9"/>
        </w:rPr>
        <w:t xml:space="preserve"> </w:t>
      </w:r>
      <w:r w:rsidRPr="00E325E4">
        <w:rPr>
          <w:spacing w:val="-1"/>
        </w:rPr>
        <w:t>Factor</w:t>
      </w:r>
      <w:r w:rsidRPr="00E325E4">
        <w:rPr>
          <w:spacing w:val="8"/>
        </w:rPr>
        <w:t xml:space="preserve"> </w:t>
      </w:r>
      <w:r w:rsidRPr="00E325E4">
        <w:rPr>
          <w:spacing w:val="-1"/>
        </w:rPr>
        <w:t>(DCRF)</w:t>
      </w:r>
      <w:r w:rsidRPr="00E325E4">
        <w:rPr>
          <w:spacing w:val="9"/>
        </w:rPr>
        <w:t xml:space="preserve"> </w:t>
      </w:r>
      <w:r w:rsidRPr="00E325E4">
        <w:t>to</w:t>
      </w:r>
      <w:r w:rsidRPr="00E325E4">
        <w:rPr>
          <w:spacing w:val="9"/>
        </w:rPr>
        <w:t xml:space="preserve"> </w:t>
      </w:r>
      <w:r w:rsidRPr="00E325E4">
        <w:t>base</w:t>
      </w:r>
      <w:r w:rsidRPr="00E325E4">
        <w:rPr>
          <w:spacing w:val="8"/>
        </w:rPr>
        <w:t xml:space="preserve"> </w:t>
      </w:r>
      <w:r w:rsidRPr="00E325E4">
        <w:rPr>
          <w:spacing w:val="-1"/>
        </w:rPr>
        <w:t>rates,</w:t>
      </w:r>
      <w:r w:rsidR="00E325E4" w:rsidRPr="00E325E4">
        <w:rPr>
          <w:spacing w:val="-1"/>
        </w:rPr>
        <w:t xml:space="preserve"> and also exclusive of, and incremen</w:t>
      </w:r>
      <w:r w:rsidR="00203DB8">
        <w:rPr>
          <w:spacing w:val="-1"/>
        </w:rPr>
        <w:t xml:space="preserve">tal to </w:t>
      </w:r>
      <w:r w:rsidR="00C50EA0">
        <w:t xml:space="preserve">approximately $4.8 million of </w:t>
      </w:r>
      <w:r w:rsidR="00203DB8">
        <w:rPr>
          <w:spacing w:val="-1"/>
        </w:rPr>
        <w:t>rate-case expenses (RCE</w:t>
      </w:r>
      <w:r w:rsidR="00E325E4" w:rsidRPr="00E325E4">
        <w:rPr>
          <w:spacing w:val="-1"/>
        </w:rPr>
        <w:t>), which will be recovered through a rider over a period of 36 months,</w:t>
      </w:r>
      <w:r>
        <w:rPr>
          <w:spacing w:val="9"/>
        </w:rPr>
        <w:t xml:space="preserve"> </w:t>
      </w:r>
      <w:r>
        <w:rPr>
          <w:spacing w:val="-1"/>
        </w:rPr>
        <w:t>resulting</w:t>
      </w:r>
      <w:r>
        <w:rPr>
          <w:spacing w:val="9"/>
        </w:rPr>
        <w:t xml:space="preserve"> </w:t>
      </w:r>
      <w:r>
        <w:t>in</w:t>
      </w:r>
      <w:r>
        <w:rPr>
          <w:spacing w:val="9"/>
        </w:rPr>
        <w:t xml:space="preserve"> </w:t>
      </w:r>
      <w:r>
        <w:t>a</w:t>
      </w:r>
      <w:r>
        <w:rPr>
          <w:spacing w:val="8"/>
        </w:rPr>
        <w:t xml:space="preserve"> </w:t>
      </w:r>
      <w:r>
        <w:rPr>
          <w:spacing w:val="-1"/>
        </w:rPr>
        <w:t>non-fuel</w:t>
      </w:r>
      <w:r>
        <w:rPr>
          <w:spacing w:val="9"/>
        </w:rPr>
        <w:t xml:space="preserve"> </w:t>
      </w:r>
      <w:r>
        <w:rPr>
          <w:spacing w:val="-1"/>
        </w:rPr>
        <w:t>revenue</w:t>
      </w:r>
      <w:r>
        <w:rPr>
          <w:spacing w:val="68"/>
        </w:rPr>
        <w:t xml:space="preserve"> </w:t>
      </w:r>
      <w:r>
        <w:rPr>
          <w:spacing w:val="-1"/>
        </w:rPr>
        <w:t>requirement</w:t>
      </w:r>
      <w:r>
        <w:t xml:space="preserve"> of $</w:t>
      </w:r>
      <w:r w:rsidR="00F824C9">
        <w:t>1,227,384,124.</w:t>
      </w:r>
    </w:p>
    <w:p w14:paraId="5860F2C6" w14:textId="77777777" w:rsidR="001018DD" w:rsidRDefault="00363B18" w:rsidP="001C3491">
      <w:pPr>
        <w:pStyle w:val="BodyText"/>
        <w:numPr>
          <w:ilvl w:val="0"/>
          <w:numId w:val="8"/>
        </w:numPr>
        <w:tabs>
          <w:tab w:val="left" w:pos="820"/>
        </w:tabs>
        <w:spacing w:before="4" w:after="120" w:line="360" w:lineRule="auto"/>
        <w:ind w:left="540" w:hanging="540"/>
        <w:jc w:val="both"/>
      </w:pPr>
      <w:r>
        <w:t xml:space="preserve">The base rate increase </w:t>
      </w:r>
      <w:r w:rsidR="00E325E4">
        <w:t>will take effect or relate back to December 3, 2022, the 155</w:t>
      </w:r>
      <w:r w:rsidR="00E325E4" w:rsidRPr="4F0E07CA">
        <w:rPr>
          <w:vertAlign w:val="superscript"/>
        </w:rPr>
        <w:t>th</w:t>
      </w:r>
      <w:r w:rsidR="00E325E4">
        <w:t xml:space="preserve"> day after</w:t>
      </w:r>
      <w:r w:rsidR="001018DD">
        <w:t xml:space="preserve"> ETI’s rate application was filed.</w:t>
      </w:r>
      <w:r w:rsidR="00E325E4">
        <w:t xml:space="preserve"> </w:t>
      </w:r>
    </w:p>
    <w:p w14:paraId="360FF460" w14:textId="35AF6898" w:rsidR="00363B18" w:rsidRDefault="001018DD" w:rsidP="001C3491">
      <w:pPr>
        <w:pStyle w:val="BodyText"/>
        <w:numPr>
          <w:ilvl w:val="0"/>
          <w:numId w:val="8"/>
        </w:numPr>
        <w:tabs>
          <w:tab w:val="left" w:pos="820"/>
        </w:tabs>
        <w:spacing w:before="4" w:after="120" w:line="360" w:lineRule="auto"/>
        <w:ind w:left="540" w:hanging="540"/>
        <w:jc w:val="both"/>
      </w:pPr>
      <w:r>
        <w:t xml:space="preserve">The base rate increase </w:t>
      </w:r>
      <w:r w:rsidR="00363B18">
        <w:t xml:space="preserve">is effective for </w:t>
      </w:r>
      <w:r w:rsidR="00363B18">
        <w:rPr>
          <w:spacing w:val="-1"/>
        </w:rPr>
        <w:t>consumption</w:t>
      </w:r>
      <w:r w:rsidR="00363B18">
        <w:t xml:space="preserve"> on and </w:t>
      </w:r>
      <w:r w:rsidR="00363B18">
        <w:rPr>
          <w:spacing w:val="-1"/>
        </w:rPr>
        <w:t>after</w:t>
      </w:r>
      <w:r w:rsidR="003E4099">
        <w:rPr>
          <w:spacing w:val="-1"/>
        </w:rPr>
        <w:t xml:space="preserve"> </w:t>
      </w:r>
      <w:r w:rsidR="003E4099" w:rsidRPr="003E4099">
        <w:rPr>
          <w:spacing w:val="-1"/>
        </w:rPr>
        <w:t>December 3, 2022</w:t>
      </w:r>
      <w:r w:rsidR="003E4099">
        <w:rPr>
          <w:spacing w:val="-1"/>
        </w:rPr>
        <w:t>.</w:t>
      </w:r>
    </w:p>
    <w:p w14:paraId="1D1EE3F0" w14:textId="2FAEC2DD" w:rsidR="00363B18" w:rsidRPr="003E49DF" w:rsidRDefault="003E49DF" w:rsidP="001C3491">
      <w:pPr>
        <w:pStyle w:val="BodyText"/>
        <w:numPr>
          <w:ilvl w:val="0"/>
          <w:numId w:val="8"/>
        </w:numPr>
        <w:tabs>
          <w:tab w:val="left" w:pos="820"/>
        </w:tabs>
        <w:spacing w:before="138" w:line="360" w:lineRule="auto"/>
        <w:ind w:left="540" w:hanging="540"/>
        <w:jc w:val="both"/>
      </w:pPr>
      <w:r>
        <w:rPr>
          <w:spacing w:val="-1"/>
        </w:rPr>
        <w:t xml:space="preserve">A surcharge to give effect </w:t>
      </w:r>
      <w:r w:rsidR="009E7C5F">
        <w:rPr>
          <w:spacing w:val="-1"/>
        </w:rPr>
        <w:t>to the December 3, 2022 relate-back date</w:t>
      </w:r>
      <w:r w:rsidR="00363B18" w:rsidRPr="003E49DF">
        <w:rPr>
          <w:spacing w:val="14"/>
        </w:rPr>
        <w:t xml:space="preserve"> </w:t>
      </w:r>
      <w:r w:rsidR="00363B18" w:rsidRPr="003E49DF">
        <w:t>shall</w:t>
      </w:r>
      <w:r w:rsidR="00363B18" w:rsidRPr="003E49DF">
        <w:rPr>
          <w:spacing w:val="14"/>
        </w:rPr>
        <w:t xml:space="preserve"> </w:t>
      </w:r>
      <w:r w:rsidR="00363B18" w:rsidRPr="003E49DF">
        <w:rPr>
          <w:spacing w:val="-1"/>
        </w:rPr>
        <w:t>be</w:t>
      </w:r>
      <w:r w:rsidR="00363B18" w:rsidRPr="003E49DF">
        <w:rPr>
          <w:spacing w:val="14"/>
        </w:rPr>
        <w:t xml:space="preserve"> </w:t>
      </w:r>
      <w:r w:rsidR="00363B18" w:rsidRPr="003E49DF">
        <w:rPr>
          <w:spacing w:val="-1"/>
        </w:rPr>
        <w:t>implemented</w:t>
      </w:r>
      <w:r w:rsidR="00363B18" w:rsidRPr="003E49DF">
        <w:rPr>
          <w:spacing w:val="14"/>
        </w:rPr>
        <w:t xml:space="preserve"> </w:t>
      </w:r>
      <w:r w:rsidR="00363B18" w:rsidRPr="003E49DF">
        <w:t>through</w:t>
      </w:r>
      <w:r w:rsidR="00363B18" w:rsidRPr="003E49DF">
        <w:rPr>
          <w:spacing w:val="37"/>
        </w:rPr>
        <w:t xml:space="preserve"> </w:t>
      </w:r>
      <w:r w:rsidR="00E31D98" w:rsidRPr="003E49DF">
        <w:t>a</w:t>
      </w:r>
      <w:r w:rsidR="00363B18" w:rsidRPr="003E49DF">
        <w:rPr>
          <w:spacing w:val="8"/>
        </w:rPr>
        <w:t xml:space="preserve"> </w:t>
      </w:r>
      <w:r w:rsidR="00363B18" w:rsidRPr="003E49DF">
        <w:rPr>
          <w:spacing w:val="-1"/>
        </w:rPr>
        <w:t>rider</w:t>
      </w:r>
      <w:r w:rsidR="00E31D98" w:rsidRPr="003E49DF">
        <w:rPr>
          <w:spacing w:val="-1"/>
        </w:rPr>
        <w:t xml:space="preserve"> made in a compliance filing following approval of final rates in this order</w:t>
      </w:r>
      <w:r w:rsidR="00363B18" w:rsidRPr="003E49DF">
        <w:t>.</w:t>
      </w:r>
    </w:p>
    <w:p w14:paraId="30B8FA18" w14:textId="34058E89" w:rsidR="0060407E" w:rsidRDefault="002F6029" w:rsidP="001C3491">
      <w:pPr>
        <w:pStyle w:val="BodyText"/>
        <w:numPr>
          <w:ilvl w:val="0"/>
          <w:numId w:val="8"/>
        </w:numPr>
        <w:tabs>
          <w:tab w:val="left" w:pos="840"/>
        </w:tabs>
        <w:spacing w:line="360" w:lineRule="auto"/>
        <w:ind w:left="540" w:hanging="540"/>
        <w:jc w:val="both"/>
      </w:pPr>
      <w:r>
        <w:rPr>
          <w:rStyle w:val="normaltextrun"/>
          <w:color w:val="000000"/>
          <w:shd w:val="clear" w:color="auto" w:fill="FFFFFF"/>
        </w:rPr>
        <w:t xml:space="preserve">ETI’s current </w:t>
      </w:r>
      <w:r>
        <w:rPr>
          <w:rStyle w:val="normaltextrun"/>
        </w:rPr>
        <w:t>GCRR, TCRF, and DCRF will be reduced to zero, and the current amounts reflected in those riders will be realigned into base rates.</w:t>
      </w:r>
      <w:r>
        <w:rPr>
          <w:spacing w:val="-1"/>
        </w:rPr>
        <w:t xml:space="preserve"> The</w:t>
      </w:r>
      <w:r>
        <w:rPr>
          <w:spacing w:val="50"/>
        </w:rPr>
        <w:t xml:space="preserve"> </w:t>
      </w:r>
      <w:r>
        <w:rPr>
          <w:spacing w:val="-1"/>
        </w:rPr>
        <w:t>baselines</w:t>
      </w:r>
      <w:r>
        <w:rPr>
          <w:spacing w:val="50"/>
        </w:rPr>
        <w:t xml:space="preserve"> </w:t>
      </w:r>
      <w:r>
        <w:rPr>
          <w:spacing w:val="-1"/>
        </w:rPr>
        <w:t>for</w:t>
      </w:r>
      <w:r>
        <w:rPr>
          <w:spacing w:val="50"/>
        </w:rPr>
        <w:t xml:space="preserve"> </w:t>
      </w:r>
      <w:r>
        <w:rPr>
          <w:spacing w:val="-1"/>
        </w:rPr>
        <w:t>transmission,</w:t>
      </w:r>
      <w:r>
        <w:rPr>
          <w:spacing w:val="50"/>
        </w:rPr>
        <w:t xml:space="preserve"> </w:t>
      </w:r>
      <w:r>
        <w:t>distribution,</w:t>
      </w:r>
      <w:r>
        <w:rPr>
          <w:spacing w:val="50"/>
        </w:rPr>
        <w:t xml:space="preserve"> </w:t>
      </w:r>
      <w:r>
        <w:t>purchased</w:t>
      </w:r>
      <w:r>
        <w:rPr>
          <w:spacing w:val="9"/>
        </w:rPr>
        <w:t xml:space="preserve"> </w:t>
      </w:r>
      <w:r>
        <w:rPr>
          <w:spacing w:val="-1"/>
        </w:rPr>
        <w:t>capacity</w:t>
      </w:r>
      <w:r>
        <w:rPr>
          <w:spacing w:val="11"/>
        </w:rPr>
        <w:t xml:space="preserve"> </w:t>
      </w:r>
      <w:r>
        <w:rPr>
          <w:spacing w:val="-1"/>
        </w:rPr>
        <w:t>recovery</w:t>
      </w:r>
      <w:r>
        <w:rPr>
          <w:spacing w:val="11"/>
        </w:rPr>
        <w:t xml:space="preserve"> </w:t>
      </w:r>
      <w:r>
        <w:rPr>
          <w:spacing w:val="-1"/>
        </w:rPr>
        <w:t>factor</w:t>
      </w:r>
      <w:r w:rsidR="00EF1533">
        <w:rPr>
          <w:spacing w:val="-1"/>
        </w:rPr>
        <w:t xml:space="preserve"> and generation cost</w:t>
      </w:r>
      <w:r>
        <w:rPr>
          <w:spacing w:val="10"/>
        </w:rPr>
        <w:t xml:space="preserve"> </w:t>
      </w:r>
      <w:r>
        <w:rPr>
          <w:spacing w:val="-1"/>
        </w:rPr>
        <w:t>riders</w:t>
      </w:r>
      <w:r>
        <w:rPr>
          <w:spacing w:val="9"/>
        </w:rPr>
        <w:t xml:space="preserve"> </w:t>
      </w:r>
      <w:r>
        <w:t>shall</w:t>
      </w:r>
      <w:r>
        <w:rPr>
          <w:spacing w:val="11"/>
        </w:rPr>
        <w:t xml:space="preserve"> </w:t>
      </w:r>
      <w:r>
        <w:rPr>
          <w:spacing w:val="-1"/>
        </w:rPr>
        <w:t>be</w:t>
      </w:r>
      <w:r>
        <w:rPr>
          <w:spacing w:val="11"/>
        </w:rPr>
        <w:t xml:space="preserve"> </w:t>
      </w:r>
      <w:r>
        <w:rPr>
          <w:spacing w:val="-1"/>
        </w:rPr>
        <w:t>those</w:t>
      </w:r>
      <w:r>
        <w:rPr>
          <w:spacing w:val="11"/>
        </w:rPr>
        <w:t xml:space="preserve"> </w:t>
      </w:r>
      <w:r>
        <w:t>set</w:t>
      </w:r>
      <w:r>
        <w:rPr>
          <w:spacing w:val="11"/>
        </w:rPr>
        <w:t xml:space="preserve"> </w:t>
      </w:r>
      <w:r>
        <w:rPr>
          <w:spacing w:val="-1"/>
        </w:rPr>
        <w:t>forth</w:t>
      </w:r>
      <w:r>
        <w:rPr>
          <w:spacing w:val="9"/>
        </w:rPr>
        <w:t xml:space="preserve"> </w:t>
      </w:r>
      <w:r>
        <w:t>in</w:t>
      </w:r>
      <w:r>
        <w:rPr>
          <w:spacing w:val="10"/>
        </w:rPr>
        <w:t xml:space="preserve"> </w:t>
      </w:r>
      <w:r>
        <w:rPr>
          <w:spacing w:val="-1"/>
        </w:rPr>
        <w:t>Attachment</w:t>
      </w:r>
      <w:r>
        <w:rPr>
          <w:spacing w:val="10"/>
        </w:rPr>
        <w:t xml:space="preserve"> </w:t>
      </w:r>
      <w:r w:rsidR="006B2C08">
        <w:t>D</w:t>
      </w:r>
      <w:r>
        <w:rPr>
          <w:spacing w:val="10"/>
        </w:rPr>
        <w:t xml:space="preserve"> </w:t>
      </w:r>
      <w:r>
        <w:t>to</w:t>
      </w:r>
      <w:r>
        <w:rPr>
          <w:spacing w:val="10"/>
        </w:rPr>
        <w:t xml:space="preserve"> </w:t>
      </w:r>
      <w:r>
        <w:t>the</w:t>
      </w:r>
      <w:r>
        <w:rPr>
          <w:spacing w:val="65"/>
        </w:rPr>
        <w:t xml:space="preserve"> </w:t>
      </w:r>
      <w:r>
        <w:t>Stipulation.</w:t>
      </w:r>
    </w:p>
    <w:p w14:paraId="5EFEDB7A" w14:textId="35220196" w:rsidR="00964CDE" w:rsidRDefault="00964CDE" w:rsidP="001C3491">
      <w:pPr>
        <w:pStyle w:val="BodyText"/>
        <w:numPr>
          <w:ilvl w:val="0"/>
          <w:numId w:val="8"/>
        </w:numPr>
        <w:tabs>
          <w:tab w:val="left" w:pos="840"/>
        </w:tabs>
        <w:spacing w:line="360" w:lineRule="auto"/>
        <w:ind w:left="540" w:hanging="540"/>
        <w:jc w:val="both"/>
      </w:pPr>
      <w:r>
        <w:t>The</w:t>
      </w:r>
      <w:r>
        <w:rPr>
          <w:spacing w:val="-7"/>
        </w:rPr>
        <w:t xml:space="preserve"> </w:t>
      </w:r>
      <w:r>
        <w:rPr>
          <w:spacing w:val="-1"/>
        </w:rPr>
        <w:t>Stipulation</w:t>
      </w:r>
      <w:r>
        <w:rPr>
          <w:spacing w:val="-7"/>
        </w:rPr>
        <w:t xml:space="preserve"> </w:t>
      </w:r>
      <w:r>
        <w:t>and</w:t>
      </w:r>
      <w:r>
        <w:rPr>
          <w:spacing w:val="-7"/>
        </w:rPr>
        <w:t xml:space="preserve"> </w:t>
      </w:r>
      <w:r>
        <w:t>this</w:t>
      </w:r>
      <w:r>
        <w:rPr>
          <w:spacing w:val="-9"/>
        </w:rPr>
        <w:t xml:space="preserve"> </w:t>
      </w:r>
      <w:r>
        <w:rPr>
          <w:spacing w:val="-1"/>
        </w:rPr>
        <w:t>Order</w:t>
      </w:r>
      <w:r>
        <w:rPr>
          <w:spacing w:val="-7"/>
        </w:rPr>
        <w:t xml:space="preserve"> </w:t>
      </w:r>
      <w:r w:rsidR="004153DC">
        <w:rPr>
          <w:spacing w:val="-1"/>
        </w:rPr>
        <w:t>reflect</w:t>
      </w:r>
      <w:r>
        <w:rPr>
          <w:spacing w:val="-7"/>
        </w:rPr>
        <w:t xml:space="preserve"> </w:t>
      </w:r>
      <w:r>
        <w:t>a</w:t>
      </w:r>
      <w:r>
        <w:rPr>
          <w:spacing w:val="-7"/>
        </w:rPr>
        <w:t xml:space="preserve"> </w:t>
      </w:r>
      <w:r>
        <w:rPr>
          <w:spacing w:val="-1"/>
        </w:rPr>
        <w:t>full</w:t>
      </w:r>
      <w:r>
        <w:rPr>
          <w:spacing w:val="-7"/>
        </w:rPr>
        <w:t xml:space="preserve"> </w:t>
      </w:r>
      <w:r>
        <w:t>and</w:t>
      </w:r>
      <w:r>
        <w:rPr>
          <w:spacing w:val="-7"/>
        </w:rPr>
        <w:t xml:space="preserve"> </w:t>
      </w:r>
      <w:r>
        <w:rPr>
          <w:spacing w:val="-1"/>
        </w:rPr>
        <w:t>final</w:t>
      </w:r>
      <w:r>
        <w:rPr>
          <w:spacing w:val="-7"/>
        </w:rPr>
        <w:t xml:space="preserve"> </w:t>
      </w:r>
      <w:r>
        <w:rPr>
          <w:spacing w:val="-1"/>
        </w:rPr>
        <w:t>resolution</w:t>
      </w:r>
      <w:r>
        <w:rPr>
          <w:spacing w:val="-7"/>
        </w:rPr>
        <w:t xml:space="preserve"> </w:t>
      </w:r>
      <w:r>
        <w:t>of</w:t>
      </w:r>
      <w:r>
        <w:rPr>
          <w:spacing w:val="-8"/>
        </w:rPr>
        <w:t xml:space="preserve"> </w:t>
      </w:r>
      <w:r>
        <w:t>all</w:t>
      </w:r>
      <w:r>
        <w:rPr>
          <w:spacing w:val="-7"/>
        </w:rPr>
        <w:t xml:space="preserve"> </w:t>
      </w:r>
      <w:r>
        <w:rPr>
          <w:spacing w:val="-1"/>
        </w:rPr>
        <w:t>issues</w:t>
      </w:r>
      <w:r>
        <w:rPr>
          <w:spacing w:val="-7"/>
        </w:rPr>
        <w:t xml:space="preserve"> </w:t>
      </w:r>
      <w:r>
        <w:t>in</w:t>
      </w:r>
      <w:r>
        <w:rPr>
          <w:spacing w:val="-7"/>
        </w:rPr>
        <w:t xml:space="preserve"> </w:t>
      </w:r>
      <w:r>
        <w:t>this</w:t>
      </w:r>
      <w:r>
        <w:rPr>
          <w:spacing w:val="-7"/>
        </w:rPr>
        <w:t xml:space="preserve"> </w:t>
      </w:r>
      <w:r>
        <w:rPr>
          <w:spacing w:val="-1"/>
        </w:rPr>
        <w:t>matter.</w:t>
      </w:r>
    </w:p>
    <w:p w14:paraId="6A484FFF" w14:textId="5E32ABE2" w:rsidR="00964CDE" w:rsidRPr="0068003F" w:rsidRDefault="00964CDE" w:rsidP="001C3491">
      <w:pPr>
        <w:widowControl w:val="0"/>
        <w:numPr>
          <w:ilvl w:val="0"/>
          <w:numId w:val="8"/>
        </w:numPr>
        <w:tabs>
          <w:tab w:val="left" w:pos="840"/>
        </w:tabs>
        <w:spacing w:before="5" w:line="360" w:lineRule="auto"/>
        <w:ind w:left="540" w:hanging="540"/>
        <w:jc w:val="both"/>
      </w:pPr>
      <w:r>
        <w:t>The</w:t>
      </w:r>
      <w:r>
        <w:rPr>
          <w:spacing w:val="14"/>
        </w:rPr>
        <w:t xml:space="preserve"> </w:t>
      </w:r>
      <w:r>
        <w:t>base</w:t>
      </w:r>
      <w:r>
        <w:rPr>
          <w:spacing w:val="14"/>
        </w:rPr>
        <w:t xml:space="preserve"> </w:t>
      </w:r>
      <w:r>
        <w:t>rates</w:t>
      </w:r>
      <w:r>
        <w:rPr>
          <w:spacing w:val="14"/>
        </w:rPr>
        <w:t xml:space="preserve"> </w:t>
      </w:r>
      <w:r>
        <w:t>approved</w:t>
      </w:r>
      <w:r>
        <w:rPr>
          <w:spacing w:val="14"/>
        </w:rPr>
        <w:t xml:space="preserve"> </w:t>
      </w:r>
      <w:r>
        <w:t>in</w:t>
      </w:r>
      <w:r>
        <w:rPr>
          <w:spacing w:val="14"/>
        </w:rPr>
        <w:t xml:space="preserve"> </w:t>
      </w:r>
      <w:r>
        <w:t>this</w:t>
      </w:r>
      <w:r>
        <w:rPr>
          <w:spacing w:val="14"/>
        </w:rPr>
        <w:t xml:space="preserve"> </w:t>
      </w:r>
      <w:r>
        <w:t>Order</w:t>
      </w:r>
      <w:r>
        <w:rPr>
          <w:spacing w:val="14"/>
        </w:rPr>
        <w:t xml:space="preserve"> </w:t>
      </w:r>
      <w:r>
        <w:t>do</w:t>
      </w:r>
      <w:r>
        <w:rPr>
          <w:spacing w:val="14"/>
        </w:rPr>
        <w:t xml:space="preserve"> </w:t>
      </w:r>
      <w:r>
        <w:t>not</w:t>
      </w:r>
      <w:r>
        <w:rPr>
          <w:spacing w:val="14"/>
        </w:rPr>
        <w:t xml:space="preserve"> </w:t>
      </w:r>
      <w:r>
        <w:t>include</w:t>
      </w:r>
      <w:r>
        <w:rPr>
          <w:spacing w:val="14"/>
        </w:rPr>
        <w:t xml:space="preserve"> </w:t>
      </w:r>
      <w:r>
        <w:t>rate</w:t>
      </w:r>
      <w:r>
        <w:rPr>
          <w:spacing w:val="14"/>
        </w:rPr>
        <w:t xml:space="preserve"> </w:t>
      </w:r>
      <w:r>
        <w:t>case</w:t>
      </w:r>
      <w:r>
        <w:rPr>
          <w:spacing w:val="14"/>
        </w:rPr>
        <w:t xml:space="preserve"> </w:t>
      </w:r>
      <w:r>
        <w:t>expenses.</w:t>
      </w:r>
    </w:p>
    <w:p w14:paraId="60F993F3" w14:textId="6B39D0CF" w:rsidR="002F6029" w:rsidRPr="0065105F" w:rsidRDefault="002F6029"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Capital Investment</w:t>
      </w:r>
    </w:p>
    <w:p w14:paraId="0AF3211D" w14:textId="4681AB61" w:rsidR="00363B18" w:rsidRPr="0068003F" w:rsidRDefault="00363B18" w:rsidP="001C3491">
      <w:pPr>
        <w:pStyle w:val="BodyText"/>
        <w:numPr>
          <w:ilvl w:val="0"/>
          <w:numId w:val="8"/>
        </w:numPr>
        <w:tabs>
          <w:tab w:val="left" w:pos="840"/>
        </w:tabs>
        <w:spacing w:line="359" w:lineRule="auto"/>
        <w:ind w:left="540" w:hanging="540"/>
        <w:jc w:val="both"/>
      </w:pPr>
      <w:r>
        <w:t>ETI’s</w:t>
      </w:r>
      <w:r>
        <w:rPr>
          <w:spacing w:val="-4"/>
        </w:rPr>
        <w:t xml:space="preserve"> </w:t>
      </w:r>
      <w:r>
        <w:rPr>
          <w:spacing w:val="-1"/>
        </w:rPr>
        <w:t>capital</w:t>
      </w:r>
      <w:r>
        <w:rPr>
          <w:spacing w:val="-4"/>
        </w:rPr>
        <w:t xml:space="preserve"> </w:t>
      </w:r>
      <w:r>
        <w:rPr>
          <w:spacing w:val="-1"/>
        </w:rPr>
        <w:t>investments</w:t>
      </w:r>
      <w:r>
        <w:rPr>
          <w:spacing w:val="-4"/>
        </w:rPr>
        <w:t xml:space="preserve"> </w:t>
      </w:r>
      <w:r w:rsidR="001C3DBF">
        <w:rPr>
          <w:spacing w:val="-4"/>
        </w:rPr>
        <w:t xml:space="preserve">included in rate base and </w:t>
      </w:r>
      <w:r>
        <w:t>closed</w:t>
      </w:r>
      <w:r>
        <w:rPr>
          <w:spacing w:val="-4"/>
        </w:rPr>
        <w:t xml:space="preserve"> </w:t>
      </w:r>
      <w:r>
        <w:t>to</w:t>
      </w:r>
      <w:r>
        <w:rPr>
          <w:spacing w:val="-4"/>
        </w:rPr>
        <w:t xml:space="preserve"> </w:t>
      </w:r>
      <w:r>
        <w:rPr>
          <w:spacing w:val="-1"/>
        </w:rPr>
        <w:t>plant</w:t>
      </w:r>
      <w:r>
        <w:rPr>
          <w:spacing w:val="-5"/>
        </w:rPr>
        <w:t xml:space="preserve"> </w:t>
      </w:r>
      <w:r>
        <w:t>through</w:t>
      </w:r>
      <w:r>
        <w:rPr>
          <w:spacing w:val="-5"/>
        </w:rPr>
        <w:t xml:space="preserve"> </w:t>
      </w:r>
      <w:r>
        <w:rPr>
          <w:spacing w:val="-1"/>
        </w:rPr>
        <w:t>December</w:t>
      </w:r>
      <w:r>
        <w:rPr>
          <w:spacing w:val="-4"/>
        </w:rPr>
        <w:t xml:space="preserve"> </w:t>
      </w:r>
      <w:r>
        <w:t>31,</w:t>
      </w:r>
      <w:r>
        <w:rPr>
          <w:spacing w:val="-6"/>
        </w:rPr>
        <w:t xml:space="preserve"> </w:t>
      </w:r>
      <w:r w:rsidR="00F824C9">
        <w:rPr>
          <w:spacing w:val="-1"/>
        </w:rPr>
        <w:lastRenderedPageBreak/>
        <w:t xml:space="preserve">2021 </w:t>
      </w:r>
      <w:r>
        <w:rPr>
          <w:spacing w:val="-1"/>
        </w:rPr>
        <w:t>are</w:t>
      </w:r>
      <w:r>
        <w:rPr>
          <w:spacing w:val="-5"/>
        </w:rPr>
        <w:t xml:space="preserve"> </w:t>
      </w:r>
      <w:r>
        <w:rPr>
          <w:spacing w:val="-1"/>
        </w:rPr>
        <w:t>used</w:t>
      </w:r>
      <w:r>
        <w:rPr>
          <w:spacing w:val="-4"/>
        </w:rPr>
        <w:t xml:space="preserve"> </w:t>
      </w:r>
      <w:r>
        <w:rPr>
          <w:spacing w:val="-1"/>
        </w:rPr>
        <w:t>and</w:t>
      </w:r>
      <w:r>
        <w:rPr>
          <w:spacing w:val="-4"/>
        </w:rPr>
        <w:t xml:space="preserve"> </w:t>
      </w:r>
      <w:r>
        <w:rPr>
          <w:spacing w:val="-1"/>
        </w:rPr>
        <w:t>useful,</w:t>
      </w:r>
      <w:r>
        <w:rPr>
          <w:spacing w:val="56"/>
        </w:rPr>
        <w:t xml:space="preserve"> </w:t>
      </w:r>
      <w:r>
        <w:t>reasonable,</w:t>
      </w:r>
      <w:r>
        <w:rPr>
          <w:spacing w:val="3"/>
        </w:rPr>
        <w:t xml:space="preserve"> </w:t>
      </w:r>
      <w:r>
        <w:t>and</w:t>
      </w:r>
      <w:r>
        <w:rPr>
          <w:spacing w:val="4"/>
        </w:rPr>
        <w:t xml:space="preserve"> </w:t>
      </w:r>
      <w:r>
        <w:t>prudent.</w:t>
      </w:r>
      <w:r>
        <w:rPr>
          <w:spacing w:val="36"/>
        </w:rPr>
        <w:t xml:space="preserve"> </w:t>
      </w:r>
    </w:p>
    <w:p w14:paraId="6CE574AB" w14:textId="5B1D5479" w:rsidR="002F6029" w:rsidRPr="0068003F" w:rsidRDefault="002F6029" w:rsidP="0086611A">
      <w:pPr>
        <w:pStyle w:val="Heading2"/>
        <w:spacing w:before="189" w:after="240"/>
        <w:jc w:val="both"/>
        <w:rPr>
          <w:rFonts w:cs="Times New Roman"/>
          <w:b/>
          <w:bCs/>
          <w:i/>
          <w:u w:val="single"/>
        </w:rPr>
      </w:pPr>
      <w:r>
        <w:rPr>
          <w:rFonts w:ascii="Times New Roman" w:hAnsi="Times New Roman" w:cs="Times New Roman"/>
          <w:b/>
          <w:bCs/>
          <w:i/>
          <w:color w:val="auto"/>
          <w:sz w:val="24"/>
          <w:szCs w:val="24"/>
          <w:u w:val="single"/>
        </w:rPr>
        <w:t>Depreciation Rates</w:t>
      </w:r>
    </w:p>
    <w:p w14:paraId="0A8A7FD2" w14:textId="4C903694" w:rsidR="004E10DE" w:rsidRDefault="004E10DE" w:rsidP="001C3491">
      <w:pPr>
        <w:pStyle w:val="BodyText"/>
        <w:numPr>
          <w:ilvl w:val="0"/>
          <w:numId w:val="8"/>
        </w:numPr>
        <w:tabs>
          <w:tab w:val="left" w:pos="840"/>
        </w:tabs>
        <w:spacing w:line="360" w:lineRule="auto"/>
        <w:ind w:left="540" w:hanging="540"/>
        <w:jc w:val="both"/>
      </w:pPr>
      <w:r>
        <w:t xml:space="preserve">For the period that rates from this proceeding are in effect, </w:t>
      </w:r>
      <w:r w:rsidR="00363B18">
        <w:t>ETI’s</w:t>
      </w:r>
      <w:r w:rsidR="00363B18">
        <w:rPr>
          <w:spacing w:val="23"/>
        </w:rPr>
        <w:t xml:space="preserve"> </w:t>
      </w:r>
      <w:r w:rsidR="00363B18">
        <w:t>depreciation</w:t>
      </w:r>
      <w:r w:rsidR="00363B18">
        <w:rPr>
          <w:spacing w:val="31"/>
        </w:rPr>
        <w:t xml:space="preserve"> </w:t>
      </w:r>
      <w:r w:rsidR="00363B18">
        <w:t>rates</w:t>
      </w:r>
      <w:r w:rsidR="00363B18">
        <w:rPr>
          <w:spacing w:val="31"/>
        </w:rPr>
        <w:t xml:space="preserve"> </w:t>
      </w:r>
      <w:r w:rsidR="00363B18">
        <w:t>shall</w:t>
      </w:r>
      <w:r w:rsidR="00363B18">
        <w:rPr>
          <w:spacing w:val="30"/>
        </w:rPr>
        <w:t xml:space="preserve"> </w:t>
      </w:r>
      <w:r w:rsidR="00363B18">
        <w:t>be</w:t>
      </w:r>
      <w:r>
        <w:t xml:space="preserve"> those reflected in Attachment B to the Stipulation</w:t>
      </w:r>
      <w:r w:rsidR="002E4412">
        <w:t xml:space="preserve"> and do not reflect any agreement on the useful lives of the utility assets</w:t>
      </w:r>
      <w:r>
        <w:t>.</w:t>
      </w:r>
      <w:r w:rsidR="00021563">
        <w:t xml:space="preserve">  Under the Stipulation, the parties agree that the use of the depreciation rates included in Attachment B to the Stipulation do not reflect any agreement concerning any planned retirement of utility assets or the ultimate recovery of any undepreciated asset costs that may be considered in ETI’s next general base rate case. </w:t>
      </w:r>
      <w:r>
        <w:t xml:space="preserve">  </w:t>
      </w:r>
    </w:p>
    <w:p w14:paraId="6FE9D8B2" w14:textId="1A291FAF" w:rsidR="002F6029" w:rsidRPr="0065105F" w:rsidRDefault="00964CDE"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Regulatory Assets</w:t>
      </w:r>
    </w:p>
    <w:p w14:paraId="26BAC2E2" w14:textId="311C3587" w:rsidR="00D438CC" w:rsidRPr="00D438CC" w:rsidRDefault="00523DA0" w:rsidP="001C3491">
      <w:pPr>
        <w:pStyle w:val="BodyText"/>
        <w:numPr>
          <w:ilvl w:val="0"/>
          <w:numId w:val="8"/>
        </w:numPr>
        <w:tabs>
          <w:tab w:val="left" w:pos="840"/>
        </w:tabs>
        <w:spacing w:line="360" w:lineRule="auto"/>
        <w:ind w:left="540" w:hanging="540"/>
        <w:jc w:val="both"/>
      </w:pPr>
      <w:r>
        <w:t>The parties agree</w:t>
      </w:r>
      <w:r w:rsidR="004153DC">
        <w:t>d</w:t>
      </w:r>
      <w:r>
        <w:t xml:space="preserve"> to the </w:t>
      </w:r>
      <w:r w:rsidR="00D438CC">
        <w:t>amortization and accrual</w:t>
      </w:r>
      <w:r>
        <w:t xml:space="preserve">s reflected in Attachment </w:t>
      </w:r>
      <w:r w:rsidR="000106E6">
        <w:t>E</w:t>
      </w:r>
      <w:r>
        <w:t xml:space="preserve"> to the Stipulation for ETI’s pension and other post-retirement benefits tracker regulatory asset</w:t>
      </w:r>
      <w:r w:rsidR="005E7FB1">
        <w:t>s</w:t>
      </w:r>
      <w:r>
        <w:t>, self-insurance (storm) reserve accrual, COVID-19 bad debt regulatory asset, and non-advanced metering system regulatory asset.</w:t>
      </w:r>
      <w:r w:rsidR="00D438CC">
        <w:t xml:space="preserve"> </w:t>
      </w:r>
    </w:p>
    <w:p w14:paraId="2C4A18D3" w14:textId="212245B1" w:rsidR="00363B18" w:rsidRDefault="00363B18" w:rsidP="001C3491">
      <w:pPr>
        <w:pStyle w:val="BodyText"/>
        <w:numPr>
          <w:ilvl w:val="0"/>
          <w:numId w:val="8"/>
        </w:numPr>
        <w:tabs>
          <w:tab w:val="left" w:pos="840"/>
        </w:tabs>
        <w:spacing w:line="360" w:lineRule="auto"/>
        <w:ind w:left="540" w:hanging="540"/>
        <w:jc w:val="both"/>
      </w:pPr>
      <w:r>
        <w:rPr>
          <w:spacing w:val="-1"/>
        </w:rPr>
        <w:t>Amortization</w:t>
      </w:r>
      <w:r>
        <w:rPr>
          <w:spacing w:val="17"/>
        </w:rPr>
        <w:t xml:space="preserve"> </w:t>
      </w:r>
      <w:r>
        <w:t>rates</w:t>
      </w:r>
      <w:r>
        <w:rPr>
          <w:spacing w:val="17"/>
        </w:rPr>
        <w:t xml:space="preserve"> </w:t>
      </w:r>
      <w:r>
        <w:rPr>
          <w:spacing w:val="-1"/>
        </w:rPr>
        <w:t>for</w:t>
      </w:r>
      <w:r>
        <w:rPr>
          <w:spacing w:val="17"/>
        </w:rPr>
        <w:t xml:space="preserve"> </w:t>
      </w:r>
      <w:r>
        <w:rPr>
          <w:spacing w:val="-1"/>
        </w:rPr>
        <w:t>other</w:t>
      </w:r>
      <w:r>
        <w:rPr>
          <w:spacing w:val="17"/>
        </w:rPr>
        <w:t xml:space="preserve"> </w:t>
      </w:r>
      <w:r>
        <w:rPr>
          <w:spacing w:val="-1"/>
        </w:rPr>
        <w:t>assets</w:t>
      </w:r>
      <w:r>
        <w:rPr>
          <w:spacing w:val="17"/>
        </w:rPr>
        <w:t xml:space="preserve"> </w:t>
      </w:r>
      <w:r>
        <w:rPr>
          <w:spacing w:val="-1"/>
        </w:rPr>
        <w:t>not</w:t>
      </w:r>
      <w:r>
        <w:rPr>
          <w:spacing w:val="16"/>
        </w:rPr>
        <w:t xml:space="preserve"> </w:t>
      </w:r>
      <w:r>
        <w:rPr>
          <w:spacing w:val="-1"/>
        </w:rPr>
        <w:t>specifically</w:t>
      </w:r>
      <w:r>
        <w:rPr>
          <w:spacing w:val="16"/>
        </w:rPr>
        <w:t xml:space="preserve"> </w:t>
      </w:r>
      <w:r>
        <w:rPr>
          <w:spacing w:val="-1"/>
        </w:rPr>
        <w:t>addressed</w:t>
      </w:r>
      <w:r>
        <w:rPr>
          <w:spacing w:val="16"/>
        </w:rPr>
        <w:t xml:space="preserve"> </w:t>
      </w:r>
      <w:r>
        <w:rPr>
          <w:spacing w:val="-1"/>
        </w:rPr>
        <w:t>in</w:t>
      </w:r>
      <w:r>
        <w:rPr>
          <w:spacing w:val="64"/>
        </w:rPr>
        <w:t xml:space="preserve"> </w:t>
      </w:r>
      <w:r>
        <w:t xml:space="preserve">the Stipulation shall be the </w:t>
      </w:r>
      <w:r>
        <w:rPr>
          <w:spacing w:val="-1"/>
        </w:rPr>
        <w:t>same</w:t>
      </w:r>
      <w:r>
        <w:t xml:space="preserve"> as in current rates.</w:t>
      </w:r>
    </w:p>
    <w:p w14:paraId="02E49280" w14:textId="3B81EDA1" w:rsidR="002F6029" w:rsidRPr="0065105F" w:rsidRDefault="002F6029"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Rate Case Expenses</w:t>
      </w:r>
    </w:p>
    <w:p w14:paraId="4A40E1B0" w14:textId="738928BC" w:rsidR="00D019C8" w:rsidRDefault="003925B0" w:rsidP="001C3491">
      <w:pPr>
        <w:pStyle w:val="BodyText"/>
        <w:numPr>
          <w:ilvl w:val="0"/>
          <w:numId w:val="8"/>
        </w:numPr>
        <w:tabs>
          <w:tab w:val="left" w:pos="840"/>
        </w:tabs>
        <w:spacing w:after="120" w:line="360" w:lineRule="auto"/>
        <w:ind w:left="540" w:hanging="540"/>
        <w:jc w:val="both"/>
      </w:pPr>
      <w:r>
        <w:t xml:space="preserve">The Stipulation authorized </w:t>
      </w:r>
      <w:r w:rsidR="00203DB8">
        <w:t xml:space="preserve">ETI to recover rate case expenses in the amount of </w:t>
      </w:r>
      <w:r w:rsidR="00105CA9">
        <w:t xml:space="preserve">$4,805,630.19 </w:t>
      </w:r>
      <w:r w:rsidR="00203DB8">
        <w:t xml:space="preserve">incurred in </w:t>
      </w:r>
      <w:r w:rsidR="00D824DC">
        <w:t xml:space="preserve">this docket </w:t>
      </w:r>
      <w:r w:rsidR="00E57E9B">
        <w:t xml:space="preserve">through December 31, 2022 </w:t>
      </w:r>
      <w:r w:rsidR="00D824DC">
        <w:t xml:space="preserve">and </w:t>
      </w:r>
      <w:r w:rsidR="00203DB8">
        <w:t xml:space="preserve">Docket </w:t>
      </w:r>
      <w:r w:rsidR="00D824DC">
        <w:t xml:space="preserve">No. 49916. </w:t>
      </w:r>
    </w:p>
    <w:p w14:paraId="3C0CE70C" w14:textId="48A6616A" w:rsidR="00F6285E" w:rsidRDefault="00F6285E" w:rsidP="001C3491">
      <w:pPr>
        <w:pStyle w:val="BodyText"/>
        <w:numPr>
          <w:ilvl w:val="0"/>
          <w:numId w:val="8"/>
        </w:numPr>
        <w:tabs>
          <w:tab w:val="left" w:pos="840"/>
        </w:tabs>
        <w:spacing w:after="120" w:line="360" w:lineRule="auto"/>
        <w:ind w:left="540" w:hanging="540"/>
        <w:jc w:val="both"/>
      </w:pPr>
      <w:r>
        <w:t xml:space="preserve">ETI and Cities demonstrated through evidence, testimony, and affidavits that the rate-case expenses sought to be recovered in this docket are reasonable, necessary, and comply with </w:t>
      </w:r>
      <w:r w:rsidR="00AD7EA2">
        <w:t>16 TAC § 25.45.</w:t>
      </w:r>
    </w:p>
    <w:p w14:paraId="31A70E7A" w14:textId="5F1A8618" w:rsidR="00363B18" w:rsidRDefault="00363B18" w:rsidP="001C3491">
      <w:pPr>
        <w:pStyle w:val="BodyText"/>
        <w:numPr>
          <w:ilvl w:val="0"/>
          <w:numId w:val="8"/>
        </w:numPr>
        <w:tabs>
          <w:tab w:val="left" w:pos="840"/>
        </w:tabs>
        <w:spacing w:after="120" w:line="360" w:lineRule="auto"/>
        <w:ind w:left="540" w:hanging="540"/>
        <w:jc w:val="both"/>
      </w:pPr>
      <w:r>
        <w:t xml:space="preserve">ETI’s </w:t>
      </w:r>
      <w:r w:rsidR="00523DA0">
        <w:t xml:space="preserve">rate-case expenses will be recovered over a period of 36 months following a </w:t>
      </w:r>
      <w:r w:rsidR="00AD7EA2">
        <w:t>F</w:t>
      </w:r>
      <w:r w:rsidR="00523DA0">
        <w:t xml:space="preserve">inal </w:t>
      </w:r>
      <w:r w:rsidR="00AD7EA2">
        <w:t>O</w:t>
      </w:r>
      <w:r w:rsidR="00523DA0">
        <w:t>rder in this proceeding</w:t>
      </w:r>
      <w:r w:rsidR="71A33148">
        <w:t xml:space="preserve"> pursuant to Schedule RCE-5 attached to the Stipulation as Attachment </w:t>
      </w:r>
      <w:r w:rsidR="00E77151">
        <w:t>F</w:t>
      </w:r>
      <w:r w:rsidR="00523DA0">
        <w:t xml:space="preserve">. </w:t>
      </w:r>
    </w:p>
    <w:p w14:paraId="79950992" w14:textId="43932914" w:rsidR="004F4EC7" w:rsidRDefault="00A90C47" w:rsidP="001C3491">
      <w:pPr>
        <w:pStyle w:val="BodyText"/>
        <w:numPr>
          <w:ilvl w:val="0"/>
          <w:numId w:val="8"/>
        </w:numPr>
        <w:tabs>
          <w:tab w:val="left" w:pos="840"/>
        </w:tabs>
        <w:spacing w:after="120" w:line="360" w:lineRule="auto"/>
        <w:ind w:left="540" w:hanging="540"/>
        <w:jc w:val="both"/>
      </w:pPr>
      <w:r>
        <w:t>ETI’s r</w:t>
      </w:r>
      <w:r w:rsidR="004F4EC7">
        <w:t>ate-case expenses incurred after December 31, 2022, will be deferred in a regulatory asset</w:t>
      </w:r>
      <w:r>
        <w:t>,</w:t>
      </w:r>
      <w:r w:rsidR="004F4EC7">
        <w:t xml:space="preserve"> and ETI may seek recovery of those amounts in a future proceeding.</w:t>
      </w:r>
    </w:p>
    <w:p w14:paraId="709CA9B6" w14:textId="27F54A06" w:rsidR="00A90C47" w:rsidRDefault="002A1168" w:rsidP="001C3491">
      <w:pPr>
        <w:pStyle w:val="BodyText"/>
        <w:numPr>
          <w:ilvl w:val="0"/>
          <w:numId w:val="8"/>
        </w:numPr>
        <w:tabs>
          <w:tab w:val="left" w:pos="840"/>
        </w:tabs>
        <w:spacing w:after="120" w:line="360" w:lineRule="auto"/>
        <w:ind w:left="540" w:hanging="540"/>
        <w:jc w:val="both"/>
      </w:pPr>
      <w:r>
        <w:t xml:space="preserve">Pursuant to the Stipulation, </w:t>
      </w:r>
      <w:r w:rsidR="00A90C47">
        <w:t xml:space="preserve">ETI will promptly reimburse Cities for $78,339 in rate case expenses incurred after December 31, 2022, </w:t>
      </w:r>
      <w:r w:rsidR="009F1B85">
        <w:t xml:space="preserve">and which amount will be included in the </w:t>
      </w:r>
      <w:r w:rsidR="009F1B85">
        <w:lastRenderedPageBreak/>
        <w:t>regulatory asset described above</w:t>
      </w:r>
      <w:r w:rsidR="008938E6">
        <w:t>.</w:t>
      </w:r>
      <w:r w:rsidR="009F1B85">
        <w:t xml:space="preserve"> </w:t>
      </w:r>
      <w:r w:rsidR="009D29C3">
        <w:t xml:space="preserve">ETI </w:t>
      </w:r>
      <w:r w:rsidR="00A87097">
        <w:t>and</w:t>
      </w:r>
      <w:r w:rsidR="009D29C3">
        <w:t xml:space="preserve"> Commission Staff</w:t>
      </w:r>
      <w:r w:rsidR="009F1B85">
        <w:t xml:space="preserve"> </w:t>
      </w:r>
      <w:r w:rsidR="000606D1">
        <w:t xml:space="preserve">agree not to </w:t>
      </w:r>
      <w:r w:rsidR="000805AE">
        <w:t xml:space="preserve">contest ETI’s recovery of these amounts </w:t>
      </w:r>
      <w:r w:rsidR="009F1B85">
        <w:t>in the future proceeding</w:t>
      </w:r>
      <w:r w:rsidR="00B90533">
        <w:t xml:space="preserve"> </w:t>
      </w:r>
      <w:r w:rsidR="000805AE">
        <w:t>in which they are presented for recovery</w:t>
      </w:r>
      <w:r w:rsidR="009F1B85">
        <w:t>.</w:t>
      </w:r>
    </w:p>
    <w:p w14:paraId="02EB1E04" w14:textId="07C37950" w:rsidR="00AD7EA2" w:rsidRDefault="00AD7EA2" w:rsidP="001C3491">
      <w:pPr>
        <w:pStyle w:val="BodyText"/>
        <w:numPr>
          <w:ilvl w:val="0"/>
          <w:numId w:val="8"/>
        </w:numPr>
        <w:tabs>
          <w:tab w:val="left" w:pos="840"/>
        </w:tabs>
        <w:spacing w:after="120" w:line="360" w:lineRule="auto"/>
        <w:ind w:left="540" w:hanging="540"/>
        <w:jc w:val="both"/>
      </w:pPr>
      <w:r>
        <w:t>The parties’ treatment of rate-case expenses under the Stipulation is appropriate.</w:t>
      </w:r>
    </w:p>
    <w:p w14:paraId="12BD0B75" w14:textId="1AB98D3E" w:rsidR="002F6029" w:rsidRPr="0065105F" w:rsidRDefault="002F6029"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Riders</w:t>
      </w:r>
    </w:p>
    <w:p w14:paraId="4BDA85E9" w14:textId="635D0A38" w:rsidR="00363B18" w:rsidRDefault="00021563" w:rsidP="001C3491">
      <w:pPr>
        <w:pStyle w:val="BodyText"/>
        <w:numPr>
          <w:ilvl w:val="0"/>
          <w:numId w:val="8"/>
        </w:numPr>
        <w:tabs>
          <w:tab w:val="left" w:pos="840"/>
        </w:tabs>
        <w:spacing w:line="360" w:lineRule="auto"/>
        <w:ind w:left="540" w:hanging="540"/>
        <w:jc w:val="both"/>
      </w:pPr>
      <w:r>
        <w:t>ETI’s proposed riders Market Valued Demand Rider (“MVDR”)</w:t>
      </w:r>
      <w:r w:rsidR="00E71B15">
        <w:t>,</w:t>
      </w:r>
      <w:r>
        <w:t xml:space="preserve"> Green Future Option (“GFO”)</w:t>
      </w:r>
      <w:r w:rsidR="00E71B15">
        <w:t>, and Deferred Tax Accounting (“DTA”)</w:t>
      </w:r>
      <w:r>
        <w:t xml:space="preserve"> are approved.</w:t>
      </w:r>
    </w:p>
    <w:p w14:paraId="47AC5766" w14:textId="7C2C75D7" w:rsidR="00021563" w:rsidRDefault="321B3374" w:rsidP="001C3491">
      <w:pPr>
        <w:pStyle w:val="BodyText"/>
        <w:numPr>
          <w:ilvl w:val="0"/>
          <w:numId w:val="8"/>
        </w:numPr>
        <w:tabs>
          <w:tab w:val="left" w:pos="840"/>
        </w:tabs>
        <w:spacing w:line="360" w:lineRule="auto"/>
        <w:ind w:left="540" w:hanging="540"/>
        <w:jc w:val="both"/>
      </w:pPr>
      <w:r>
        <w:t>ETI’s proposed changes to existing tariffs are approved with the exception of the proposed changes to Schedule Standby and Maintenance Service (“SMS”) and Rider to Schedules LIPS, LIPS-TOD, Interruptible Service (“IS”)</w:t>
      </w:r>
      <w:r w:rsidR="4E51A48E">
        <w:t>, which have been revised and are approved as shown in attachment C to the Stipulation</w:t>
      </w:r>
      <w:r>
        <w:t>.</w:t>
      </w:r>
    </w:p>
    <w:p w14:paraId="70C2E9A0" w14:textId="2DB77998" w:rsidR="002F6029" w:rsidRPr="0065105F" w:rsidRDefault="002F6029"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Return and Capital Structure</w:t>
      </w:r>
    </w:p>
    <w:p w14:paraId="36FF09CE" w14:textId="2DBAB209" w:rsidR="00363B18" w:rsidRPr="0068003F" w:rsidRDefault="00363B18" w:rsidP="001C3491">
      <w:pPr>
        <w:pStyle w:val="BodyText"/>
        <w:numPr>
          <w:ilvl w:val="0"/>
          <w:numId w:val="8"/>
        </w:numPr>
        <w:tabs>
          <w:tab w:val="left" w:pos="840"/>
        </w:tabs>
        <w:spacing w:line="360" w:lineRule="auto"/>
        <w:ind w:left="540" w:hanging="540"/>
        <w:jc w:val="both"/>
        <w:rPr>
          <w:sz w:val="20"/>
          <w:szCs w:val="20"/>
        </w:rPr>
      </w:pPr>
      <w:r>
        <w:t>ETI</w:t>
      </w:r>
      <w:r w:rsidR="00837385">
        <w:t>’s authorized return on equity will be stated at 9.57%, with the cost of debt at 3.47%</w:t>
      </w:r>
      <w:r w:rsidR="00980EC3">
        <w:t>,</w:t>
      </w:r>
      <w:r w:rsidR="00837385">
        <w:t xml:space="preserve"> and the cost of preferred stock at 5.35%.  ETI’s regulatory capital structure will consist of 51.21% equity, 0.81% preferred stock, and 47.97% long term debt. </w:t>
      </w:r>
      <w:r w:rsidR="00021563">
        <w:t xml:space="preserve"> ETI’s weighted average cost of capital will be 6.61%.</w:t>
      </w:r>
      <w:r>
        <w:rPr>
          <w:spacing w:val="28"/>
        </w:rPr>
        <w:t xml:space="preserve"> </w:t>
      </w:r>
    </w:p>
    <w:p w14:paraId="27794C83" w14:textId="7A4581F0" w:rsidR="00964CDE" w:rsidRPr="0065105F" w:rsidRDefault="00964CDE"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Cash Working Capital</w:t>
      </w:r>
    </w:p>
    <w:p w14:paraId="23FFA142" w14:textId="39783100" w:rsidR="00363B18" w:rsidRPr="0068003F" w:rsidRDefault="00DA1670" w:rsidP="001C3491">
      <w:pPr>
        <w:pStyle w:val="BodyText"/>
        <w:numPr>
          <w:ilvl w:val="0"/>
          <w:numId w:val="8"/>
        </w:numPr>
        <w:tabs>
          <w:tab w:val="left" w:pos="840"/>
        </w:tabs>
        <w:spacing w:before="69" w:line="360" w:lineRule="auto"/>
        <w:ind w:left="540" w:hanging="540"/>
        <w:jc w:val="both"/>
      </w:pPr>
      <w:r>
        <w:t xml:space="preserve">For preparation of ETI’s Earnings Monitoring Reports, under 16 TAC </w:t>
      </w:r>
      <w:r>
        <w:rPr>
          <w:rFonts w:cs="Times New Roman"/>
        </w:rPr>
        <w:t>§ 25.73 (relating to annual reports), for reporting years beginning in 202</w:t>
      </w:r>
      <w:r w:rsidR="00A50504">
        <w:rPr>
          <w:rFonts w:cs="Times New Roman"/>
        </w:rPr>
        <w:t>3</w:t>
      </w:r>
      <w:r>
        <w:rPr>
          <w:rFonts w:cs="Times New Roman"/>
        </w:rPr>
        <w:t xml:space="preserve">, Cash Working Capital, included in rate base, will be set at </w:t>
      </w:r>
      <w:r w:rsidRPr="004D36E3">
        <w:rPr>
          <w:rFonts w:cs="Times New Roman"/>
        </w:rPr>
        <w:t>($</w:t>
      </w:r>
      <w:r w:rsidR="00AE43AC" w:rsidRPr="00AE43AC">
        <w:rPr>
          <w:rFonts w:cs="Times New Roman"/>
        </w:rPr>
        <w:t>8,</w:t>
      </w:r>
      <w:r w:rsidR="04F5FE5D" w:rsidRPr="00AE43AC">
        <w:rPr>
          <w:rFonts w:cs="Times New Roman"/>
        </w:rPr>
        <w:t>559,750</w:t>
      </w:r>
      <w:r>
        <w:rPr>
          <w:rFonts w:cs="Times New Roman"/>
        </w:rPr>
        <w:t>).</w:t>
      </w:r>
      <w:r>
        <w:t xml:space="preserve"> </w:t>
      </w:r>
      <w:r>
        <w:rPr>
          <w:spacing w:val="-1"/>
        </w:rPr>
        <w:t xml:space="preserve"> </w:t>
      </w:r>
    </w:p>
    <w:p w14:paraId="1C9B2C5C" w14:textId="07F75CAF" w:rsidR="00964CDE" w:rsidRPr="0065105F" w:rsidRDefault="00964CDE"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Financial Protections</w:t>
      </w:r>
    </w:p>
    <w:p w14:paraId="7DFCF072" w14:textId="77777777" w:rsidR="00853E61" w:rsidRPr="00853E61" w:rsidRDefault="00853E61" w:rsidP="001C3491">
      <w:pPr>
        <w:pStyle w:val="ListNumber"/>
        <w:numPr>
          <w:ilvl w:val="0"/>
          <w:numId w:val="8"/>
        </w:numPr>
        <w:ind w:left="540" w:hanging="540"/>
        <w:rPr>
          <w:b w:val="0"/>
        </w:rPr>
      </w:pPr>
      <w:r>
        <w:rPr>
          <w:b w:val="0"/>
        </w:rPr>
        <w:t>ETI will adopt the following ring-fencing provisions:</w:t>
      </w:r>
    </w:p>
    <w:p w14:paraId="6BA14BC2" w14:textId="77777777" w:rsidR="00853E61" w:rsidRPr="00853E61" w:rsidRDefault="00853E61" w:rsidP="001C3491">
      <w:pPr>
        <w:pStyle w:val="ListNumber"/>
        <w:numPr>
          <w:ilvl w:val="1"/>
          <w:numId w:val="8"/>
        </w:numPr>
        <w:ind w:left="720"/>
        <w:rPr>
          <w:b w:val="0"/>
        </w:rPr>
      </w:pPr>
      <w:r>
        <w:rPr>
          <w:b w:val="0"/>
        </w:rPr>
        <w:t>ETI Credit Ratings.  ETI will work to ensure that its credit ratings at S&amp;P and Moody’s remain at or above ETI’s current credit ratings.</w:t>
      </w:r>
    </w:p>
    <w:p w14:paraId="25E4458B" w14:textId="77777777" w:rsidR="00853E61" w:rsidRPr="00853E61" w:rsidRDefault="00853E61" w:rsidP="001C3491">
      <w:pPr>
        <w:pStyle w:val="ListNumber"/>
        <w:numPr>
          <w:ilvl w:val="1"/>
          <w:numId w:val="8"/>
        </w:numPr>
        <w:ind w:left="720"/>
        <w:rPr>
          <w:b w:val="0"/>
        </w:rPr>
      </w:pPr>
      <w:r>
        <w:rPr>
          <w:b w:val="0"/>
        </w:rPr>
        <w:t>Notification of Less-than-Investment-Grade Rating.  ETI will notify the Commission if its credit issuer rating or corporate rating as rated by either S&amp;P or Moody’s falls below investment-grade level.</w:t>
      </w:r>
    </w:p>
    <w:p w14:paraId="414CA6E9" w14:textId="77777777" w:rsidR="00853E61" w:rsidRPr="00853E61" w:rsidRDefault="00853E61" w:rsidP="001C3491">
      <w:pPr>
        <w:pStyle w:val="ListNumber"/>
        <w:numPr>
          <w:ilvl w:val="1"/>
          <w:numId w:val="8"/>
        </w:numPr>
        <w:ind w:left="720"/>
        <w:rPr>
          <w:b w:val="0"/>
        </w:rPr>
      </w:pPr>
      <w:r>
        <w:rPr>
          <w:b w:val="0"/>
        </w:rPr>
        <w:t>Stand-Alone Credit Rating.  ETI will take the actions necessary to ensure the existence of a ETI stand-alone credit rating.</w:t>
      </w:r>
    </w:p>
    <w:p w14:paraId="34AC0213" w14:textId="77777777" w:rsidR="00853E61" w:rsidRPr="00853E61" w:rsidRDefault="00853E61" w:rsidP="001C3491">
      <w:pPr>
        <w:pStyle w:val="ListNumber"/>
        <w:numPr>
          <w:ilvl w:val="1"/>
          <w:numId w:val="8"/>
        </w:numPr>
        <w:ind w:left="720"/>
        <w:rPr>
          <w:b w:val="0"/>
        </w:rPr>
      </w:pPr>
      <w:r>
        <w:rPr>
          <w:b w:val="0"/>
        </w:rPr>
        <w:lastRenderedPageBreak/>
        <w:t>No Sharing of a Credit Facility.  ETI will not share a credit facility with any unregulated affiliates.</w:t>
      </w:r>
    </w:p>
    <w:p w14:paraId="45D86D0B" w14:textId="77777777" w:rsidR="00853E61" w:rsidRPr="00853E61" w:rsidRDefault="00853E61" w:rsidP="001C3491">
      <w:pPr>
        <w:pStyle w:val="ListNumber"/>
        <w:numPr>
          <w:ilvl w:val="1"/>
          <w:numId w:val="8"/>
        </w:numPr>
        <w:ind w:left="720"/>
        <w:rPr>
          <w:b w:val="0"/>
        </w:rPr>
      </w:pPr>
      <w:r>
        <w:rPr>
          <w:b w:val="0"/>
        </w:rPr>
        <w:t>No ETI Debt Secured by Non-ETI Assets.  ETI’s debt will not be secured by non-ETI assets.</w:t>
      </w:r>
    </w:p>
    <w:p w14:paraId="1ADC062E" w14:textId="77777777" w:rsidR="00853E61" w:rsidRPr="00853E61" w:rsidRDefault="00853E61" w:rsidP="001C3491">
      <w:pPr>
        <w:pStyle w:val="ListNumber"/>
        <w:numPr>
          <w:ilvl w:val="1"/>
          <w:numId w:val="8"/>
        </w:numPr>
        <w:ind w:left="720"/>
        <w:rPr>
          <w:b w:val="0"/>
        </w:rPr>
      </w:pPr>
      <w:r>
        <w:rPr>
          <w:b w:val="0"/>
        </w:rPr>
        <w:t>No ETI Assets Pledged for Other Entities’ Debt.  ETI’s assets will not secure the debt of Entergy Corporation or its non-ETI affiliates.  ETI’s assets will not be pledged for any other entity.</w:t>
      </w:r>
    </w:p>
    <w:p w14:paraId="05E5DB9F" w14:textId="77777777" w:rsidR="00853E61" w:rsidRPr="00853E61" w:rsidRDefault="00853E61" w:rsidP="001C3491">
      <w:pPr>
        <w:pStyle w:val="ListNumber"/>
        <w:numPr>
          <w:ilvl w:val="1"/>
          <w:numId w:val="8"/>
        </w:numPr>
        <w:ind w:left="720"/>
        <w:rPr>
          <w:b w:val="0"/>
        </w:rPr>
      </w:pPr>
      <w:r>
        <w:rPr>
          <w:b w:val="0"/>
        </w:rPr>
        <w:t>No Credit for Affiliate Debt.  ETI will not hold out its credit as being available to pay the debt of any Entergy affiliates.</w:t>
      </w:r>
    </w:p>
    <w:p w14:paraId="5E270C1F" w14:textId="77777777" w:rsidR="00853E61" w:rsidRPr="00853E61" w:rsidRDefault="00853E61" w:rsidP="001C3491">
      <w:pPr>
        <w:pStyle w:val="ListNumber"/>
        <w:numPr>
          <w:ilvl w:val="1"/>
          <w:numId w:val="8"/>
        </w:numPr>
        <w:ind w:left="720"/>
        <w:rPr>
          <w:b w:val="0"/>
        </w:rPr>
      </w:pPr>
      <w:r>
        <w:rPr>
          <w:b w:val="0"/>
        </w:rPr>
        <w:t>No Commingling of Assets.  Except for access to the utility-money pool and the use of shared assets governed by the Commission’s affiliate rules, ETI will not commingle its assets with those of other Entergy affiliates.</w:t>
      </w:r>
    </w:p>
    <w:p w14:paraId="1B08E54B" w14:textId="77777777" w:rsidR="00853E61" w:rsidRPr="00853E61" w:rsidRDefault="00853E61" w:rsidP="001C3491">
      <w:pPr>
        <w:pStyle w:val="ListNumber"/>
        <w:numPr>
          <w:ilvl w:val="1"/>
          <w:numId w:val="8"/>
        </w:numPr>
        <w:ind w:left="720"/>
        <w:rPr>
          <w:b w:val="0"/>
        </w:rPr>
      </w:pPr>
      <w:r>
        <w:rPr>
          <w:b w:val="0"/>
        </w:rPr>
        <w:t>Affiliate Asset Transfer Commitment.  ETI will not transfer any material assets or facilities to any affiliates, other than a transfer that is on an arm’s-length basis in accordance with the Commission’s affiliate standards applicable to ETI, regardless of whether such affiliate standards would apply to the particular transaction.</w:t>
      </w:r>
    </w:p>
    <w:p w14:paraId="3F513487" w14:textId="582BE1A7" w:rsidR="00853E61" w:rsidRPr="00853E61" w:rsidRDefault="00853E61" w:rsidP="001C3491">
      <w:pPr>
        <w:pStyle w:val="ListNumber"/>
        <w:numPr>
          <w:ilvl w:val="1"/>
          <w:numId w:val="8"/>
        </w:numPr>
        <w:ind w:left="720"/>
        <w:rPr>
          <w:b w:val="0"/>
        </w:rPr>
      </w:pPr>
      <w:r>
        <w:rPr>
          <w:b w:val="0"/>
        </w:rPr>
        <w:t>No Debt Disproportionately Dependent on ETI.  Without prior approval of the Commission, neither Entergy Corporation nor any affiliate of Entergy Corporation (excluding ETI) will incur, guaranty, or pledge assets in respect of any incremental new debt that is dependent on: (1) the revenues of ETI in more than a proportionate degree than the other revenues of Entergy Corporation; or (2) the stock of ETI.</w:t>
      </w:r>
    </w:p>
    <w:p w14:paraId="2959076B" w14:textId="77777777" w:rsidR="00853E61" w:rsidRPr="00853E61" w:rsidRDefault="00853E61" w:rsidP="001C3491">
      <w:pPr>
        <w:pStyle w:val="ListNumber"/>
        <w:numPr>
          <w:ilvl w:val="1"/>
          <w:numId w:val="8"/>
        </w:numPr>
        <w:ind w:left="720"/>
        <w:rPr>
          <w:b w:val="0"/>
        </w:rPr>
      </w:pPr>
      <w:r>
        <w:rPr>
          <w:b w:val="0"/>
        </w:rPr>
        <w:t>No Bankruptcy Cost Commitment.  ETI will not seek to recover from customers any costs incurred as a result of a bankruptcy of Entergy Corporation or any of its affiliates.</w:t>
      </w:r>
    </w:p>
    <w:p w14:paraId="577E6EAF" w14:textId="77777777" w:rsidR="00853E61" w:rsidRPr="00853E61" w:rsidRDefault="00853E61" w:rsidP="001C3491">
      <w:pPr>
        <w:pStyle w:val="ListNumber"/>
        <w:numPr>
          <w:ilvl w:val="1"/>
          <w:numId w:val="8"/>
        </w:numPr>
        <w:ind w:left="720"/>
        <w:rPr>
          <w:b w:val="0"/>
        </w:rPr>
      </w:pPr>
      <w:r>
        <w:rPr>
          <w:b w:val="0"/>
        </w:rPr>
        <w:t>No Cross-Default Provision. A no cross-default provision, that ETI’s credit agreements and indentures will not contain cross-default provisions whereby a default by Entergy Corporation or its other affiliates would cause a default by ETI.</w:t>
      </w:r>
    </w:p>
    <w:p w14:paraId="28690F1C" w14:textId="032A77C6" w:rsidR="00853E61" w:rsidRDefault="00853E61" w:rsidP="001C3491">
      <w:pPr>
        <w:pStyle w:val="ListNumber"/>
        <w:numPr>
          <w:ilvl w:val="1"/>
          <w:numId w:val="8"/>
        </w:numPr>
        <w:ind w:left="720"/>
        <w:rPr>
          <w:b w:val="0"/>
        </w:rPr>
      </w:pPr>
      <w:r>
        <w:rPr>
          <w:b w:val="0"/>
        </w:rPr>
        <w:t xml:space="preserve">No Financial Covenants or Rating Agency Triggers Related to Another Entity. A no financial covenants or rating agency triggers related to another entity provision, that the financial covenants in ETI’s credit agreements will not be related to any entity other than ETI. </w:t>
      </w:r>
      <w:r w:rsidR="00980EC3">
        <w:rPr>
          <w:b w:val="0"/>
        </w:rPr>
        <w:t xml:space="preserve"> </w:t>
      </w:r>
      <w:r>
        <w:rPr>
          <w:b w:val="0"/>
        </w:rPr>
        <w:t>ETI will not include in its debt or credit agreements any financial covenants or rating agency triggers related to any entity other than ETI.</w:t>
      </w:r>
    </w:p>
    <w:p w14:paraId="7054B9BB" w14:textId="14995294" w:rsidR="00964CDE" w:rsidRPr="0065105F" w:rsidRDefault="00964CDE"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Class Revenue Allocation and Rate Design</w:t>
      </w:r>
    </w:p>
    <w:p w14:paraId="20DA228B" w14:textId="6FE085AD" w:rsidR="00363B18" w:rsidRDefault="00363B18" w:rsidP="001C3491">
      <w:pPr>
        <w:pStyle w:val="BodyText"/>
        <w:numPr>
          <w:ilvl w:val="0"/>
          <w:numId w:val="8"/>
        </w:numPr>
        <w:tabs>
          <w:tab w:val="left" w:pos="840"/>
        </w:tabs>
        <w:spacing w:line="360" w:lineRule="auto"/>
        <w:ind w:left="540" w:hanging="540"/>
        <w:jc w:val="both"/>
      </w:pPr>
      <w:r>
        <w:t>The</w:t>
      </w:r>
      <w:r>
        <w:rPr>
          <w:spacing w:val="6"/>
        </w:rPr>
        <w:t xml:space="preserve"> </w:t>
      </w:r>
      <w:r>
        <w:t>class</w:t>
      </w:r>
      <w:r>
        <w:rPr>
          <w:spacing w:val="6"/>
        </w:rPr>
        <w:t xml:space="preserve"> </w:t>
      </w:r>
      <w:r>
        <w:t>revenue</w:t>
      </w:r>
      <w:r>
        <w:rPr>
          <w:spacing w:val="6"/>
        </w:rPr>
        <w:t xml:space="preserve"> </w:t>
      </w:r>
      <w:r>
        <w:t>allocation</w:t>
      </w:r>
      <w:r>
        <w:rPr>
          <w:spacing w:val="6"/>
        </w:rPr>
        <w:t xml:space="preserve"> </w:t>
      </w:r>
      <w:r>
        <w:t>and</w:t>
      </w:r>
      <w:r>
        <w:rPr>
          <w:spacing w:val="5"/>
        </w:rPr>
        <w:t xml:space="preserve"> </w:t>
      </w:r>
      <w:r>
        <w:rPr>
          <w:spacing w:val="-1"/>
        </w:rPr>
        <w:t>rate</w:t>
      </w:r>
      <w:r>
        <w:rPr>
          <w:spacing w:val="5"/>
        </w:rPr>
        <w:t xml:space="preserve"> </w:t>
      </w:r>
      <w:r>
        <w:t>design</w:t>
      </w:r>
      <w:r>
        <w:rPr>
          <w:spacing w:val="6"/>
        </w:rPr>
        <w:t xml:space="preserve"> </w:t>
      </w:r>
      <w:r>
        <w:rPr>
          <w:spacing w:val="-1"/>
        </w:rPr>
        <w:t>reflected</w:t>
      </w:r>
      <w:r>
        <w:rPr>
          <w:spacing w:val="6"/>
        </w:rPr>
        <w:t xml:space="preserve"> </w:t>
      </w:r>
      <w:r>
        <w:t>in</w:t>
      </w:r>
      <w:r>
        <w:rPr>
          <w:spacing w:val="6"/>
        </w:rPr>
        <w:t xml:space="preserve"> </w:t>
      </w:r>
      <w:r>
        <w:rPr>
          <w:spacing w:val="-1"/>
        </w:rPr>
        <w:t>Attachment</w:t>
      </w:r>
      <w:r>
        <w:rPr>
          <w:spacing w:val="6"/>
        </w:rPr>
        <w:t xml:space="preserve"> </w:t>
      </w:r>
      <w:r w:rsidR="00E77151">
        <w:t>G</w:t>
      </w:r>
      <w:r w:rsidR="00E77151">
        <w:rPr>
          <w:spacing w:val="6"/>
        </w:rPr>
        <w:t xml:space="preserve"> </w:t>
      </w:r>
      <w:r>
        <w:t>to</w:t>
      </w:r>
      <w:r>
        <w:rPr>
          <w:spacing w:val="6"/>
        </w:rPr>
        <w:t xml:space="preserve"> </w:t>
      </w:r>
      <w:r>
        <w:t>the</w:t>
      </w:r>
      <w:r>
        <w:rPr>
          <w:spacing w:val="6"/>
        </w:rPr>
        <w:t xml:space="preserve"> </w:t>
      </w:r>
      <w:r>
        <w:rPr>
          <w:spacing w:val="-1"/>
        </w:rPr>
        <w:t>Stipulation</w:t>
      </w:r>
      <w:r>
        <w:rPr>
          <w:spacing w:val="51"/>
        </w:rPr>
        <w:t xml:space="preserve"> </w:t>
      </w:r>
      <w:r>
        <w:t xml:space="preserve">shall be </w:t>
      </w:r>
      <w:r>
        <w:rPr>
          <w:spacing w:val="-1"/>
        </w:rPr>
        <w:t>implemented.</w:t>
      </w:r>
    </w:p>
    <w:p w14:paraId="6B6BDF7F" w14:textId="035F02F1" w:rsidR="00363B18" w:rsidRDefault="00363B18" w:rsidP="001C3491">
      <w:pPr>
        <w:pStyle w:val="BodyText"/>
        <w:numPr>
          <w:ilvl w:val="0"/>
          <w:numId w:val="8"/>
        </w:numPr>
        <w:tabs>
          <w:tab w:val="left" w:pos="840"/>
        </w:tabs>
        <w:spacing w:after="120"/>
        <w:ind w:left="540" w:hanging="540"/>
        <w:jc w:val="both"/>
      </w:pPr>
      <w:r>
        <w:t xml:space="preserve">ETI’s proposed </w:t>
      </w:r>
      <w:r w:rsidR="00307CB1">
        <w:t xml:space="preserve">energy </w:t>
      </w:r>
      <w:r>
        <w:t xml:space="preserve">line loss </w:t>
      </w:r>
      <w:r>
        <w:rPr>
          <w:spacing w:val="-1"/>
        </w:rPr>
        <w:t>factors</w:t>
      </w:r>
      <w:r>
        <w:t xml:space="preserve"> are approved.</w:t>
      </w:r>
    </w:p>
    <w:p w14:paraId="12112810" w14:textId="50FDFCD2" w:rsidR="00363B18" w:rsidRPr="00AD1E5A" w:rsidRDefault="00363B18" w:rsidP="001C3491">
      <w:pPr>
        <w:pStyle w:val="BodyText"/>
        <w:numPr>
          <w:ilvl w:val="0"/>
          <w:numId w:val="8"/>
        </w:numPr>
        <w:tabs>
          <w:tab w:val="left" w:pos="840"/>
        </w:tabs>
        <w:ind w:left="540" w:hanging="540"/>
        <w:jc w:val="both"/>
      </w:pPr>
      <w:r w:rsidRPr="00AD1E5A">
        <w:lastRenderedPageBreak/>
        <w:t xml:space="preserve">The customer charge </w:t>
      </w:r>
      <w:r w:rsidRPr="00AD1E5A">
        <w:rPr>
          <w:spacing w:val="-1"/>
        </w:rPr>
        <w:t>applicable</w:t>
      </w:r>
      <w:r w:rsidRPr="00AD1E5A">
        <w:t xml:space="preserve"> </w:t>
      </w:r>
      <w:r w:rsidRPr="00AD1E5A">
        <w:rPr>
          <w:spacing w:val="-1"/>
        </w:rPr>
        <w:t>to the Residential class is $</w:t>
      </w:r>
      <w:r w:rsidR="00255A1A">
        <w:rPr>
          <w:spacing w:val="-1"/>
        </w:rPr>
        <w:t>14.00</w:t>
      </w:r>
      <w:r w:rsidRPr="00AD1E5A">
        <w:rPr>
          <w:spacing w:val="-1"/>
        </w:rPr>
        <w:t>.</w:t>
      </w:r>
    </w:p>
    <w:p w14:paraId="373AB6A5" w14:textId="1BFB4E18" w:rsidR="00363B18" w:rsidRPr="00AD1E5A" w:rsidRDefault="00363B18" w:rsidP="001C3491">
      <w:pPr>
        <w:pStyle w:val="BodyText"/>
        <w:numPr>
          <w:ilvl w:val="0"/>
          <w:numId w:val="8"/>
        </w:numPr>
        <w:tabs>
          <w:tab w:val="left" w:pos="840"/>
        </w:tabs>
        <w:spacing w:before="138"/>
        <w:ind w:left="540" w:hanging="540"/>
        <w:jc w:val="both"/>
      </w:pPr>
      <w:r w:rsidRPr="00AD1E5A">
        <w:t xml:space="preserve">The customer charge </w:t>
      </w:r>
      <w:r w:rsidRPr="00AD1E5A">
        <w:rPr>
          <w:spacing w:val="-1"/>
        </w:rPr>
        <w:t>applicable</w:t>
      </w:r>
      <w:r w:rsidRPr="00AD1E5A">
        <w:t xml:space="preserve"> to</w:t>
      </w:r>
      <w:r w:rsidRPr="00AD1E5A">
        <w:rPr>
          <w:spacing w:val="-1"/>
        </w:rPr>
        <w:t xml:space="preserve"> </w:t>
      </w:r>
      <w:r w:rsidRPr="00AD1E5A">
        <w:t xml:space="preserve">the </w:t>
      </w:r>
      <w:r w:rsidRPr="00AD1E5A">
        <w:rPr>
          <w:spacing w:val="-1"/>
        </w:rPr>
        <w:t>Small</w:t>
      </w:r>
      <w:r w:rsidRPr="00AD1E5A">
        <w:t xml:space="preserve"> General</w:t>
      </w:r>
      <w:r w:rsidRPr="00AD1E5A">
        <w:rPr>
          <w:spacing w:val="-1"/>
        </w:rPr>
        <w:t xml:space="preserve"> class</w:t>
      </w:r>
      <w:r w:rsidRPr="00AD1E5A">
        <w:t xml:space="preserve"> is</w:t>
      </w:r>
      <w:r w:rsidRPr="00AD1E5A">
        <w:rPr>
          <w:spacing w:val="-1"/>
        </w:rPr>
        <w:t xml:space="preserve"> $</w:t>
      </w:r>
      <w:r w:rsidR="005C3C35">
        <w:rPr>
          <w:spacing w:val="-1"/>
        </w:rPr>
        <w:t>21.94</w:t>
      </w:r>
      <w:r w:rsidRPr="00AD1E5A">
        <w:rPr>
          <w:spacing w:val="-1"/>
        </w:rPr>
        <w:t>.</w:t>
      </w:r>
    </w:p>
    <w:p w14:paraId="627DA0B2" w14:textId="0DC04109" w:rsidR="00363B18" w:rsidRDefault="00363B18" w:rsidP="001C3491">
      <w:pPr>
        <w:pStyle w:val="BodyText"/>
        <w:numPr>
          <w:ilvl w:val="0"/>
          <w:numId w:val="8"/>
        </w:numPr>
        <w:tabs>
          <w:tab w:val="left" w:pos="840"/>
        </w:tabs>
        <w:spacing w:before="137" w:line="360" w:lineRule="auto"/>
        <w:ind w:left="540" w:hanging="540"/>
        <w:jc w:val="both"/>
      </w:pPr>
      <w:r>
        <w:t>The</w:t>
      </w:r>
      <w:r>
        <w:rPr>
          <w:spacing w:val="-10"/>
        </w:rPr>
        <w:t xml:space="preserve"> </w:t>
      </w:r>
      <w:r>
        <w:t>agreed-to</w:t>
      </w:r>
      <w:r>
        <w:rPr>
          <w:spacing w:val="-10"/>
        </w:rPr>
        <w:t xml:space="preserve"> </w:t>
      </w:r>
      <w:r>
        <w:t>rate</w:t>
      </w:r>
      <w:r>
        <w:rPr>
          <w:spacing w:val="-10"/>
        </w:rPr>
        <w:t xml:space="preserve"> </w:t>
      </w:r>
      <w:r>
        <w:rPr>
          <w:spacing w:val="-1"/>
        </w:rPr>
        <w:t>schedules</w:t>
      </w:r>
      <w:r>
        <w:rPr>
          <w:spacing w:val="-10"/>
        </w:rPr>
        <w:t xml:space="preserve"> </w:t>
      </w:r>
      <w:r>
        <w:t>and</w:t>
      </w:r>
      <w:r>
        <w:rPr>
          <w:spacing w:val="-11"/>
        </w:rPr>
        <w:t xml:space="preserve"> </w:t>
      </w:r>
      <w:r>
        <w:t>tariffs</w:t>
      </w:r>
      <w:r>
        <w:rPr>
          <w:spacing w:val="-10"/>
        </w:rPr>
        <w:t xml:space="preserve"> </w:t>
      </w:r>
      <w:r>
        <w:t>attached</w:t>
      </w:r>
      <w:r>
        <w:rPr>
          <w:spacing w:val="-11"/>
        </w:rPr>
        <w:t xml:space="preserve"> </w:t>
      </w:r>
      <w:r>
        <w:t>as</w:t>
      </w:r>
      <w:r>
        <w:rPr>
          <w:spacing w:val="-10"/>
        </w:rPr>
        <w:t xml:space="preserve"> </w:t>
      </w:r>
      <w:r>
        <w:rPr>
          <w:spacing w:val="-1"/>
        </w:rPr>
        <w:t>Attachment</w:t>
      </w:r>
      <w:r>
        <w:rPr>
          <w:spacing w:val="-11"/>
        </w:rPr>
        <w:t xml:space="preserve"> </w:t>
      </w:r>
      <w:r>
        <w:t>A</w:t>
      </w:r>
      <w:r>
        <w:rPr>
          <w:spacing w:val="-11"/>
        </w:rPr>
        <w:t xml:space="preserve"> </w:t>
      </w:r>
      <w:r>
        <w:t>to</w:t>
      </w:r>
      <w:r>
        <w:rPr>
          <w:spacing w:val="-10"/>
        </w:rPr>
        <w:t xml:space="preserve"> </w:t>
      </w:r>
      <w:r>
        <w:rPr>
          <w:spacing w:val="-1"/>
        </w:rPr>
        <w:t>ETI’s</w:t>
      </w:r>
      <w:r>
        <w:rPr>
          <w:spacing w:val="-10"/>
        </w:rPr>
        <w:t xml:space="preserve"> </w:t>
      </w:r>
      <w:r>
        <w:rPr>
          <w:spacing w:val="-1"/>
        </w:rPr>
        <w:t>Agreed</w:t>
      </w:r>
      <w:r>
        <w:rPr>
          <w:spacing w:val="-10"/>
        </w:rPr>
        <w:t xml:space="preserve"> </w:t>
      </w:r>
      <w:r>
        <w:rPr>
          <w:spacing w:val="-1"/>
        </w:rPr>
        <w:t>Motion</w:t>
      </w:r>
      <w:r>
        <w:rPr>
          <w:spacing w:val="47"/>
        </w:rPr>
        <w:t xml:space="preserve"> </w:t>
      </w:r>
      <w:r>
        <w:t>for Interim</w:t>
      </w:r>
      <w:r>
        <w:rPr>
          <w:spacing w:val="-1"/>
        </w:rPr>
        <w:t xml:space="preserve"> </w:t>
      </w:r>
      <w:r>
        <w:t xml:space="preserve">Rates are </w:t>
      </w:r>
      <w:r w:rsidR="00A355FF">
        <w:t>reasonable and</w:t>
      </w:r>
      <w:r>
        <w:rPr>
          <w:spacing w:val="-1"/>
        </w:rPr>
        <w:t xml:space="preserve"> are final pursuant to this Order.</w:t>
      </w:r>
    </w:p>
    <w:p w14:paraId="5C92ED4C" w14:textId="2C95C170" w:rsidR="00964CDE" w:rsidRPr="0065105F" w:rsidRDefault="00964CDE"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Advanced Metering System</w:t>
      </w:r>
    </w:p>
    <w:p w14:paraId="6B194747" w14:textId="4CF8911D" w:rsidR="009F5F37" w:rsidRPr="0068003F" w:rsidRDefault="00DA225C" w:rsidP="001C3491">
      <w:pPr>
        <w:pStyle w:val="BodyText"/>
        <w:numPr>
          <w:ilvl w:val="0"/>
          <w:numId w:val="8"/>
        </w:numPr>
        <w:tabs>
          <w:tab w:val="left" w:pos="840"/>
        </w:tabs>
        <w:spacing w:before="69" w:line="360" w:lineRule="auto"/>
        <w:ind w:left="540" w:hanging="540"/>
        <w:jc w:val="both"/>
      </w:pPr>
      <w:r>
        <w:t xml:space="preserve">ETI requested to reconcile Advanced Metering System (AMS) costs with AMS surcharge revenues in accordance with 16 </w:t>
      </w:r>
      <w:r w:rsidR="004153DC">
        <w:t>TAC</w:t>
      </w:r>
      <w:r>
        <w:t xml:space="preserve"> § 25.130(k)(6)</w:t>
      </w:r>
      <w:r w:rsidR="00654696">
        <w:t xml:space="preserve"> and the Commission’s order in Docket No. 47416</w:t>
      </w:r>
      <w:r>
        <w:t>.</w:t>
      </w:r>
    </w:p>
    <w:p w14:paraId="45B27E0B" w14:textId="1DB92AB2" w:rsidR="00654696" w:rsidRPr="0068003F" w:rsidRDefault="00654696" w:rsidP="001C3491">
      <w:pPr>
        <w:pStyle w:val="BodyText"/>
        <w:numPr>
          <w:ilvl w:val="0"/>
          <w:numId w:val="8"/>
        </w:numPr>
        <w:tabs>
          <w:tab w:val="left" w:pos="840"/>
        </w:tabs>
        <w:spacing w:before="69" w:line="360" w:lineRule="auto"/>
        <w:ind w:left="540" w:hanging="540"/>
        <w:jc w:val="both"/>
      </w:pPr>
      <w:r>
        <w:t xml:space="preserve">ETI’s </w:t>
      </w:r>
      <w:r w:rsidR="00A94CDC">
        <w:t xml:space="preserve">incurred </w:t>
      </w:r>
      <w:r>
        <w:t>AMS costs and investments for the deployment of AMS during the reconciliation period ending December 31, 2021</w:t>
      </w:r>
      <w:r w:rsidR="00A94CDC">
        <w:t xml:space="preserve"> </w:t>
      </w:r>
      <w:r>
        <w:t>were in accordance with ETI</w:t>
      </w:r>
      <w:r w:rsidR="00A94CDC">
        <w:t>’</w:t>
      </w:r>
      <w:r>
        <w:t xml:space="preserve">s AMS deployment plan approved in </w:t>
      </w:r>
      <w:r w:rsidR="00A94CDC">
        <w:t>Docket No. 47416.</w:t>
      </w:r>
    </w:p>
    <w:p w14:paraId="12F9CFE0" w14:textId="2D6F8C8F" w:rsidR="00A94CDC" w:rsidRPr="0068003F" w:rsidRDefault="00A94CDC" w:rsidP="001C3491">
      <w:pPr>
        <w:pStyle w:val="BodyText"/>
        <w:numPr>
          <w:ilvl w:val="0"/>
          <w:numId w:val="8"/>
        </w:numPr>
        <w:tabs>
          <w:tab w:val="left" w:pos="840"/>
        </w:tabs>
        <w:spacing w:before="69" w:line="360" w:lineRule="auto"/>
        <w:ind w:left="540" w:hanging="540"/>
        <w:jc w:val="both"/>
      </w:pPr>
      <w:r>
        <w:t>ETI demonstrated that its AMS costs and surcharge revenues appropriately accounted for during the reconciliation period and that any differences between its estimated costs or investments and its actual expenditures were appropriately incurred and were reasonable and necessary.</w:t>
      </w:r>
    </w:p>
    <w:p w14:paraId="7CD4E0F9" w14:textId="046C686A" w:rsidR="00A94CDC" w:rsidRPr="0068003F" w:rsidRDefault="00A94CDC" w:rsidP="001C3491">
      <w:pPr>
        <w:pStyle w:val="BodyText"/>
        <w:numPr>
          <w:ilvl w:val="0"/>
          <w:numId w:val="8"/>
        </w:numPr>
        <w:tabs>
          <w:tab w:val="left" w:pos="840"/>
        </w:tabs>
        <w:spacing w:before="69" w:line="360" w:lineRule="auto"/>
        <w:ind w:left="540" w:hanging="540"/>
        <w:jc w:val="both"/>
      </w:pPr>
      <w:r>
        <w:t>ETI has tracked and recorded its AMS revenues and related costs and savings consistent with the Commission’s Order in Docket No. 47416.</w:t>
      </w:r>
    </w:p>
    <w:p w14:paraId="427CB12B" w14:textId="4AB12424" w:rsidR="00654696" w:rsidRPr="008211A7" w:rsidRDefault="00654696" w:rsidP="001C3491">
      <w:pPr>
        <w:pStyle w:val="BodyText"/>
        <w:numPr>
          <w:ilvl w:val="0"/>
          <w:numId w:val="8"/>
        </w:numPr>
        <w:tabs>
          <w:tab w:val="left" w:pos="840"/>
        </w:tabs>
        <w:spacing w:before="69" w:line="360" w:lineRule="auto"/>
        <w:ind w:left="540" w:hanging="540"/>
        <w:jc w:val="both"/>
      </w:pPr>
      <w:r>
        <w:t xml:space="preserve">ETI provided sufficient evidence supporting the reasonableness of the AMS costs </w:t>
      </w:r>
      <w:r w:rsidR="00A94CDC">
        <w:t xml:space="preserve">and investments </w:t>
      </w:r>
      <w:r>
        <w:t>incurred.</w:t>
      </w:r>
    </w:p>
    <w:p w14:paraId="624F0836" w14:textId="3CE0757C" w:rsidR="00964CDE" w:rsidRPr="0065105F" w:rsidRDefault="00964CDE" w:rsidP="0086611A">
      <w:pPr>
        <w:pStyle w:val="Heading2"/>
        <w:spacing w:before="189" w:after="240"/>
        <w:jc w:val="both"/>
        <w:rPr>
          <w:rFonts w:ascii="Times New Roman" w:hAnsi="Times New Roman" w:cs="Times New Roman"/>
          <w:b/>
          <w:bCs/>
          <w:i/>
          <w:color w:val="auto"/>
          <w:sz w:val="24"/>
          <w:szCs w:val="24"/>
          <w:u w:val="single"/>
        </w:rPr>
      </w:pPr>
      <w:r>
        <w:rPr>
          <w:rFonts w:ascii="Times New Roman" w:hAnsi="Times New Roman" w:cs="Times New Roman"/>
          <w:b/>
          <w:bCs/>
          <w:i/>
          <w:color w:val="auto"/>
          <w:sz w:val="24"/>
          <w:szCs w:val="24"/>
          <w:u w:val="single"/>
        </w:rPr>
        <w:t>Nuclear Decommissioning</w:t>
      </w:r>
    </w:p>
    <w:p w14:paraId="3648B5E0" w14:textId="6CF04716" w:rsidR="00234949" w:rsidRPr="0068003F" w:rsidRDefault="00234949" w:rsidP="001C3491">
      <w:pPr>
        <w:pStyle w:val="BodyText"/>
        <w:numPr>
          <w:ilvl w:val="0"/>
          <w:numId w:val="8"/>
        </w:numPr>
        <w:tabs>
          <w:tab w:val="left" w:pos="840"/>
        </w:tabs>
        <w:spacing w:before="69" w:line="360" w:lineRule="auto"/>
        <w:ind w:left="540" w:hanging="540"/>
        <w:jc w:val="both"/>
      </w:pPr>
      <w:r w:rsidRPr="4F0E07CA">
        <w:rPr>
          <w:rFonts w:cs="Times New Roman"/>
        </w:rPr>
        <w:t xml:space="preserve">The annual decommissioning trust fund revenue requirement (expense) for the River Bend nuclear power plant (via ETI’s power purchase agreement, River Bend 70 Amended PPA, with Entergy Louisiana, L.L.C.) is $0 as proposed in the Direct Testimony of ETI witness Richard E. Lain.  </w:t>
      </w:r>
    </w:p>
    <w:p w14:paraId="604F2C94" w14:textId="77777777" w:rsidR="0060407E" w:rsidRPr="0065105F" w:rsidRDefault="0060407E" w:rsidP="0086611A">
      <w:pPr>
        <w:pStyle w:val="Heading2"/>
        <w:spacing w:before="189"/>
        <w:jc w:val="both"/>
        <w:rPr>
          <w:rFonts w:ascii="Times New Roman" w:hAnsi="Times New Roman" w:cs="Times New Roman"/>
          <w:b/>
          <w:bCs/>
          <w:i/>
          <w:color w:val="auto"/>
          <w:sz w:val="24"/>
          <w:szCs w:val="24"/>
          <w:u w:val="single"/>
        </w:rPr>
      </w:pPr>
      <w:r w:rsidRPr="0065105F">
        <w:rPr>
          <w:rFonts w:ascii="Times New Roman" w:hAnsi="Times New Roman" w:cs="Times New Roman"/>
          <w:b/>
          <w:bCs/>
          <w:i/>
          <w:color w:val="auto"/>
          <w:sz w:val="24"/>
          <w:szCs w:val="24"/>
          <w:u w:val="single"/>
        </w:rPr>
        <w:t>Consistency with Statutory and Commission Requirements</w:t>
      </w:r>
    </w:p>
    <w:p w14:paraId="586E1416" w14:textId="77777777" w:rsidR="0060407E" w:rsidRDefault="0060407E" w:rsidP="001C3491">
      <w:pPr>
        <w:pStyle w:val="BodyText"/>
        <w:numPr>
          <w:ilvl w:val="0"/>
          <w:numId w:val="8"/>
        </w:numPr>
        <w:tabs>
          <w:tab w:val="left" w:pos="840"/>
        </w:tabs>
        <w:spacing w:before="135" w:line="360" w:lineRule="auto"/>
        <w:ind w:left="540" w:hanging="540"/>
        <w:jc w:val="both"/>
      </w:pPr>
      <w:r>
        <w:t>ETI’s</w:t>
      </w:r>
      <w:r>
        <w:rPr>
          <w:spacing w:val="12"/>
        </w:rPr>
        <w:t xml:space="preserve"> </w:t>
      </w:r>
      <w:r>
        <w:t>application,</w:t>
      </w:r>
      <w:r>
        <w:rPr>
          <w:spacing w:val="10"/>
        </w:rPr>
        <w:t xml:space="preserve"> </w:t>
      </w:r>
      <w:r>
        <w:t>as</w:t>
      </w:r>
      <w:r>
        <w:rPr>
          <w:spacing w:val="12"/>
        </w:rPr>
        <w:t xml:space="preserve"> </w:t>
      </w:r>
      <w:r>
        <w:rPr>
          <w:spacing w:val="-1"/>
        </w:rPr>
        <w:t>modified</w:t>
      </w:r>
      <w:r>
        <w:rPr>
          <w:spacing w:val="12"/>
        </w:rPr>
        <w:t xml:space="preserve"> </w:t>
      </w:r>
      <w:r>
        <w:t>by</w:t>
      </w:r>
      <w:r>
        <w:rPr>
          <w:spacing w:val="11"/>
        </w:rPr>
        <w:t xml:space="preserve"> </w:t>
      </w:r>
      <w:r>
        <w:t>the</w:t>
      </w:r>
      <w:r>
        <w:rPr>
          <w:spacing w:val="12"/>
        </w:rPr>
        <w:t xml:space="preserve"> </w:t>
      </w:r>
      <w:r>
        <w:t>Stipulation</w:t>
      </w:r>
      <w:r>
        <w:rPr>
          <w:spacing w:val="12"/>
        </w:rPr>
        <w:t xml:space="preserve"> </w:t>
      </w:r>
      <w:r>
        <w:t>and</w:t>
      </w:r>
      <w:r>
        <w:rPr>
          <w:spacing w:val="12"/>
        </w:rPr>
        <w:t xml:space="preserve"> </w:t>
      </w:r>
      <w:r>
        <w:t>this</w:t>
      </w:r>
      <w:r>
        <w:rPr>
          <w:spacing w:val="12"/>
        </w:rPr>
        <w:t xml:space="preserve"> </w:t>
      </w:r>
      <w:r>
        <w:rPr>
          <w:spacing w:val="-1"/>
        </w:rPr>
        <w:t>Order,</w:t>
      </w:r>
      <w:r>
        <w:rPr>
          <w:spacing w:val="12"/>
        </w:rPr>
        <w:t xml:space="preserve"> </w:t>
      </w:r>
      <w:r>
        <w:t>and</w:t>
      </w:r>
      <w:r>
        <w:rPr>
          <w:spacing w:val="10"/>
        </w:rPr>
        <w:t xml:space="preserve"> </w:t>
      </w:r>
      <w:r>
        <w:rPr>
          <w:spacing w:val="-1"/>
        </w:rPr>
        <w:t>its</w:t>
      </w:r>
      <w:r>
        <w:rPr>
          <w:spacing w:val="11"/>
        </w:rPr>
        <w:t xml:space="preserve"> </w:t>
      </w:r>
      <w:r>
        <w:rPr>
          <w:spacing w:val="-1"/>
        </w:rPr>
        <w:t>implementation</w:t>
      </w:r>
      <w:r>
        <w:rPr>
          <w:spacing w:val="47"/>
        </w:rPr>
        <w:t xml:space="preserve"> </w:t>
      </w:r>
      <w:r>
        <w:t>will</w:t>
      </w:r>
      <w:r>
        <w:rPr>
          <w:spacing w:val="13"/>
        </w:rPr>
        <w:t xml:space="preserve"> </w:t>
      </w:r>
      <w:r>
        <w:rPr>
          <w:spacing w:val="-1"/>
        </w:rPr>
        <w:t>result</w:t>
      </w:r>
      <w:r>
        <w:rPr>
          <w:spacing w:val="13"/>
        </w:rPr>
        <w:t xml:space="preserve"> </w:t>
      </w:r>
      <w:r>
        <w:t>in</w:t>
      </w:r>
      <w:r>
        <w:rPr>
          <w:spacing w:val="14"/>
        </w:rPr>
        <w:t xml:space="preserve"> </w:t>
      </w:r>
      <w:r>
        <w:t>a</w:t>
      </w:r>
      <w:r>
        <w:rPr>
          <w:spacing w:val="13"/>
        </w:rPr>
        <w:t xml:space="preserve"> </w:t>
      </w:r>
      <w:r>
        <w:t>just</w:t>
      </w:r>
      <w:r>
        <w:rPr>
          <w:spacing w:val="14"/>
        </w:rPr>
        <w:t xml:space="preserve"> </w:t>
      </w:r>
      <w:r>
        <w:t>and</w:t>
      </w:r>
      <w:r>
        <w:rPr>
          <w:spacing w:val="13"/>
        </w:rPr>
        <w:t xml:space="preserve"> </w:t>
      </w:r>
      <w:r>
        <w:rPr>
          <w:spacing w:val="-1"/>
        </w:rPr>
        <w:t>reasonable</w:t>
      </w:r>
      <w:r>
        <w:rPr>
          <w:spacing w:val="14"/>
        </w:rPr>
        <w:t xml:space="preserve"> </w:t>
      </w:r>
      <w:r>
        <w:rPr>
          <w:spacing w:val="-1"/>
        </w:rPr>
        <w:t>disposition</w:t>
      </w:r>
      <w:r>
        <w:rPr>
          <w:spacing w:val="13"/>
        </w:rPr>
        <w:t xml:space="preserve"> </w:t>
      </w:r>
      <w:r>
        <w:t>of</w:t>
      </w:r>
      <w:r>
        <w:rPr>
          <w:spacing w:val="13"/>
        </w:rPr>
        <w:t xml:space="preserve"> </w:t>
      </w:r>
      <w:r>
        <w:t>the</w:t>
      </w:r>
      <w:r>
        <w:rPr>
          <w:spacing w:val="13"/>
        </w:rPr>
        <w:t xml:space="preserve"> </w:t>
      </w:r>
      <w:r>
        <w:rPr>
          <w:spacing w:val="-1"/>
        </w:rPr>
        <w:t>issues</w:t>
      </w:r>
      <w:r>
        <w:rPr>
          <w:spacing w:val="12"/>
        </w:rPr>
        <w:t xml:space="preserve"> </w:t>
      </w:r>
      <w:r>
        <w:rPr>
          <w:spacing w:val="-1"/>
        </w:rPr>
        <w:t>in</w:t>
      </w:r>
      <w:r>
        <w:rPr>
          <w:spacing w:val="14"/>
        </w:rPr>
        <w:t xml:space="preserve"> </w:t>
      </w:r>
      <w:r>
        <w:rPr>
          <w:spacing w:val="-1"/>
        </w:rPr>
        <w:t>and</w:t>
      </w:r>
      <w:r>
        <w:rPr>
          <w:spacing w:val="13"/>
        </w:rPr>
        <w:t xml:space="preserve"> </w:t>
      </w:r>
      <w:r>
        <w:rPr>
          <w:spacing w:val="-1"/>
        </w:rPr>
        <w:t>related</w:t>
      </w:r>
      <w:r>
        <w:rPr>
          <w:spacing w:val="14"/>
        </w:rPr>
        <w:t xml:space="preserve"> </w:t>
      </w:r>
      <w:r>
        <w:rPr>
          <w:spacing w:val="-1"/>
        </w:rPr>
        <w:t>to</w:t>
      </w:r>
      <w:r>
        <w:rPr>
          <w:spacing w:val="13"/>
        </w:rPr>
        <w:t xml:space="preserve"> </w:t>
      </w:r>
      <w:r>
        <w:rPr>
          <w:spacing w:val="-1"/>
        </w:rPr>
        <w:t>this</w:t>
      </w:r>
      <w:r>
        <w:rPr>
          <w:spacing w:val="14"/>
        </w:rPr>
        <w:t xml:space="preserve"> </w:t>
      </w:r>
      <w:r>
        <w:rPr>
          <w:spacing w:val="-1"/>
        </w:rPr>
        <w:t>docket</w:t>
      </w:r>
      <w:r>
        <w:rPr>
          <w:spacing w:val="64"/>
        </w:rPr>
        <w:t xml:space="preserve"> </w:t>
      </w:r>
      <w:r>
        <w:t xml:space="preserve">consistent </w:t>
      </w:r>
      <w:r>
        <w:rPr>
          <w:spacing w:val="-1"/>
        </w:rPr>
        <w:t>with</w:t>
      </w:r>
      <w:r>
        <w:t xml:space="preserve"> the</w:t>
      </w:r>
      <w:r>
        <w:rPr>
          <w:spacing w:val="1"/>
        </w:rPr>
        <w:t xml:space="preserve"> </w:t>
      </w:r>
      <w:r>
        <w:rPr>
          <w:spacing w:val="-1"/>
        </w:rPr>
        <w:t>public interest.</w:t>
      </w:r>
    </w:p>
    <w:p w14:paraId="12058688" w14:textId="4C112D8C" w:rsidR="0060407E" w:rsidRDefault="0060407E" w:rsidP="001C3491">
      <w:pPr>
        <w:pStyle w:val="BodyText"/>
        <w:numPr>
          <w:ilvl w:val="0"/>
          <w:numId w:val="8"/>
        </w:numPr>
        <w:tabs>
          <w:tab w:val="left" w:pos="840"/>
        </w:tabs>
        <w:spacing w:line="346" w:lineRule="auto"/>
        <w:ind w:left="540" w:hanging="540"/>
        <w:jc w:val="both"/>
      </w:pPr>
      <w:r>
        <w:t>The</w:t>
      </w:r>
      <w:r>
        <w:rPr>
          <w:spacing w:val="1"/>
        </w:rPr>
        <w:t xml:space="preserve"> </w:t>
      </w:r>
      <w:r>
        <w:rPr>
          <w:spacing w:val="-1"/>
        </w:rPr>
        <w:t>terms</w:t>
      </w:r>
      <w:r>
        <w:rPr>
          <w:spacing w:val="1"/>
        </w:rPr>
        <w:t xml:space="preserve"> </w:t>
      </w:r>
      <w:r>
        <w:t>of</w:t>
      </w:r>
      <w:r>
        <w:rPr>
          <w:spacing w:val="1"/>
        </w:rPr>
        <w:t xml:space="preserve"> </w:t>
      </w:r>
      <w:r>
        <w:t>the</w:t>
      </w:r>
      <w:r>
        <w:rPr>
          <w:spacing w:val="1"/>
        </w:rPr>
        <w:t xml:space="preserve"> </w:t>
      </w:r>
      <w:r>
        <w:rPr>
          <w:spacing w:val="-1"/>
        </w:rPr>
        <w:t>Stipulation</w:t>
      </w:r>
      <w:r>
        <w:rPr>
          <w:spacing w:val="1"/>
        </w:rPr>
        <w:t xml:space="preserve"> </w:t>
      </w:r>
      <w:r>
        <w:t>described in this</w:t>
      </w:r>
      <w:r>
        <w:rPr>
          <w:spacing w:val="1"/>
        </w:rPr>
        <w:t xml:space="preserve"> </w:t>
      </w:r>
      <w:r>
        <w:t>Order</w:t>
      </w:r>
      <w:r>
        <w:rPr>
          <w:spacing w:val="1"/>
        </w:rPr>
        <w:t xml:space="preserve"> </w:t>
      </w:r>
      <w:r>
        <w:t>are</w:t>
      </w:r>
      <w:r>
        <w:rPr>
          <w:spacing w:val="1"/>
        </w:rPr>
        <w:t xml:space="preserve"> </w:t>
      </w:r>
      <w:r>
        <w:rPr>
          <w:spacing w:val="-1"/>
        </w:rPr>
        <w:t>consistent</w:t>
      </w:r>
      <w:r>
        <w:t xml:space="preserve"> </w:t>
      </w:r>
      <w:r>
        <w:rPr>
          <w:spacing w:val="-1"/>
        </w:rPr>
        <w:t>with</w:t>
      </w:r>
      <w:r>
        <w:rPr>
          <w:spacing w:val="1"/>
        </w:rPr>
        <w:t xml:space="preserve"> </w:t>
      </w:r>
      <w:r>
        <w:rPr>
          <w:spacing w:val="-1"/>
        </w:rPr>
        <w:t>applicable</w:t>
      </w:r>
      <w:r>
        <w:rPr>
          <w:spacing w:val="57"/>
        </w:rPr>
        <w:t xml:space="preserve"> </w:t>
      </w:r>
      <w:r>
        <w:rPr>
          <w:spacing w:val="-1"/>
        </w:rPr>
        <w:lastRenderedPageBreak/>
        <w:t xml:space="preserve">provisions of </w:t>
      </w:r>
      <w:r>
        <w:t>the Public</w:t>
      </w:r>
      <w:r>
        <w:rPr>
          <w:spacing w:val="-2"/>
        </w:rPr>
        <w:t xml:space="preserve"> </w:t>
      </w:r>
      <w:r>
        <w:rPr>
          <w:spacing w:val="-1"/>
        </w:rPr>
        <w:t>Utility</w:t>
      </w:r>
      <w:r>
        <w:t xml:space="preserve"> </w:t>
      </w:r>
      <w:r>
        <w:rPr>
          <w:spacing w:val="-1"/>
        </w:rPr>
        <w:t>Regulatory</w:t>
      </w:r>
      <w:r>
        <w:t xml:space="preserve"> Act (PURA)</w:t>
      </w:r>
      <w:r w:rsidR="004D6584">
        <w:rPr>
          <w:position w:val="9"/>
          <w:sz w:val="16"/>
          <w:szCs w:val="16"/>
        </w:rPr>
        <w:t>2</w:t>
      </w:r>
      <w:r w:rsidRPr="03CC5A80">
        <w:rPr>
          <w:spacing w:val="20"/>
          <w:position w:val="9"/>
          <w:sz w:val="16"/>
          <w:szCs w:val="16"/>
        </w:rPr>
        <w:t xml:space="preserve"> </w:t>
      </w:r>
      <w:r>
        <w:t xml:space="preserve">and </w:t>
      </w:r>
      <w:r>
        <w:rPr>
          <w:spacing w:val="-1"/>
        </w:rPr>
        <w:t>Commission</w:t>
      </w:r>
      <w:r>
        <w:t xml:space="preserve"> rules.</w:t>
      </w:r>
    </w:p>
    <w:p w14:paraId="7906D084" w14:textId="77777777" w:rsidR="0060407E" w:rsidRDefault="0060407E" w:rsidP="001C3491">
      <w:pPr>
        <w:pStyle w:val="BodyText"/>
        <w:numPr>
          <w:ilvl w:val="0"/>
          <w:numId w:val="8"/>
        </w:numPr>
        <w:tabs>
          <w:tab w:val="left" w:pos="840"/>
        </w:tabs>
        <w:spacing w:before="69" w:line="360" w:lineRule="auto"/>
        <w:ind w:left="540" w:hanging="540"/>
        <w:jc w:val="both"/>
      </w:pPr>
      <w:r>
        <w:t>To</w:t>
      </w:r>
      <w:r w:rsidRPr="009F5F37">
        <w:rPr>
          <w:spacing w:val="10"/>
        </w:rPr>
        <w:t xml:space="preserve"> </w:t>
      </w:r>
      <w:r>
        <w:t>the</w:t>
      </w:r>
      <w:r w:rsidRPr="009F5F37">
        <w:rPr>
          <w:spacing w:val="10"/>
        </w:rPr>
        <w:t xml:space="preserve"> </w:t>
      </w:r>
      <w:r w:rsidRPr="009F5F37">
        <w:rPr>
          <w:spacing w:val="-1"/>
        </w:rPr>
        <w:t>extent</w:t>
      </w:r>
      <w:r w:rsidRPr="009F5F37">
        <w:rPr>
          <w:spacing w:val="10"/>
        </w:rPr>
        <w:t xml:space="preserve"> </w:t>
      </w:r>
      <w:r>
        <w:t>that</w:t>
      </w:r>
      <w:r w:rsidRPr="009F5F37">
        <w:rPr>
          <w:spacing w:val="10"/>
        </w:rPr>
        <w:t xml:space="preserve"> </w:t>
      </w:r>
      <w:r>
        <w:t>affiliate</w:t>
      </w:r>
      <w:r w:rsidRPr="009F5F37">
        <w:rPr>
          <w:spacing w:val="10"/>
        </w:rPr>
        <w:t xml:space="preserve"> </w:t>
      </w:r>
      <w:r>
        <w:t>costs</w:t>
      </w:r>
      <w:r w:rsidRPr="009F5F37">
        <w:rPr>
          <w:spacing w:val="10"/>
        </w:rPr>
        <w:t xml:space="preserve"> </w:t>
      </w:r>
      <w:r>
        <w:t>are</w:t>
      </w:r>
      <w:r w:rsidRPr="009F5F37">
        <w:rPr>
          <w:spacing w:val="10"/>
        </w:rPr>
        <w:t xml:space="preserve"> </w:t>
      </w:r>
      <w:r>
        <w:t>included</w:t>
      </w:r>
      <w:r w:rsidRPr="009F5F37">
        <w:rPr>
          <w:spacing w:val="10"/>
        </w:rPr>
        <w:t xml:space="preserve"> </w:t>
      </w:r>
      <w:r>
        <w:t>in</w:t>
      </w:r>
      <w:r w:rsidRPr="009F5F37">
        <w:rPr>
          <w:spacing w:val="10"/>
        </w:rPr>
        <w:t xml:space="preserve"> </w:t>
      </w:r>
      <w:r w:rsidRPr="009F5F37">
        <w:rPr>
          <w:spacing w:val="-1"/>
        </w:rPr>
        <w:t>the</w:t>
      </w:r>
      <w:r w:rsidRPr="009F5F37">
        <w:rPr>
          <w:spacing w:val="10"/>
        </w:rPr>
        <w:t xml:space="preserve"> </w:t>
      </w:r>
      <w:r w:rsidRPr="009F5F37">
        <w:rPr>
          <w:spacing w:val="-1"/>
        </w:rPr>
        <w:t>stipulated</w:t>
      </w:r>
      <w:r w:rsidRPr="009F5F37">
        <w:rPr>
          <w:spacing w:val="10"/>
        </w:rPr>
        <w:t xml:space="preserve"> </w:t>
      </w:r>
      <w:r w:rsidRPr="009F5F37">
        <w:rPr>
          <w:spacing w:val="-1"/>
        </w:rPr>
        <w:t>revenue</w:t>
      </w:r>
      <w:r w:rsidRPr="009F5F37">
        <w:rPr>
          <w:spacing w:val="10"/>
        </w:rPr>
        <w:t xml:space="preserve"> </w:t>
      </w:r>
      <w:r w:rsidRPr="009F5F37">
        <w:rPr>
          <w:spacing w:val="-1"/>
        </w:rPr>
        <w:t>requirement,</w:t>
      </w:r>
      <w:r w:rsidRPr="009F5F37">
        <w:rPr>
          <w:spacing w:val="10"/>
        </w:rPr>
        <w:t xml:space="preserve"> </w:t>
      </w:r>
      <w:r w:rsidRPr="009F5F37">
        <w:rPr>
          <w:spacing w:val="-1"/>
        </w:rPr>
        <w:t>they</w:t>
      </w:r>
      <w:r w:rsidRPr="009F5F37">
        <w:rPr>
          <w:spacing w:val="30"/>
        </w:rPr>
        <w:t xml:space="preserve"> </w:t>
      </w:r>
      <w:r>
        <w:t>are</w:t>
      </w:r>
      <w:r w:rsidRPr="009F5F37">
        <w:rPr>
          <w:spacing w:val="-15"/>
        </w:rPr>
        <w:t xml:space="preserve"> </w:t>
      </w:r>
      <w:r w:rsidRPr="009F5F37">
        <w:rPr>
          <w:spacing w:val="-1"/>
        </w:rPr>
        <w:t>reasonable</w:t>
      </w:r>
      <w:r w:rsidRPr="009F5F37">
        <w:rPr>
          <w:spacing w:val="-15"/>
        </w:rPr>
        <w:t xml:space="preserve"> </w:t>
      </w:r>
      <w:r>
        <w:t>and</w:t>
      </w:r>
      <w:r w:rsidRPr="009F5F37">
        <w:rPr>
          <w:spacing w:val="-15"/>
        </w:rPr>
        <w:t xml:space="preserve"> </w:t>
      </w:r>
      <w:r w:rsidRPr="009F5F37">
        <w:rPr>
          <w:spacing w:val="-1"/>
        </w:rPr>
        <w:t>necessary</w:t>
      </w:r>
      <w:r w:rsidRPr="009F5F37">
        <w:rPr>
          <w:spacing w:val="-15"/>
        </w:rPr>
        <w:t xml:space="preserve"> </w:t>
      </w:r>
      <w:r w:rsidRPr="009F5F37">
        <w:rPr>
          <w:spacing w:val="-1"/>
        </w:rPr>
        <w:t>for</w:t>
      </w:r>
      <w:r w:rsidRPr="009F5F37">
        <w:rPr>
          <w:spacing w:val="-15"/>
        </w:rPr>
        <w:t xml:space="preserve"> </w:t>
      </w:r>
      <w:r w:rsidRPr="009F5F37">
        <w:rPr>
          <w:spacing w:val="-1"/>
        </w:rPr>
        <w:t>each</w:t>
      </w:r>
      <w:r w:rsidRPr="009F5F37">
        <w:rPr>
          <w:spacing w:val="-16"/>
        </w:rPr>
        <w:t xml:space="preserve"> </w:t>
      </w:r>
      <w:r>
        <w:t>class</w:t>
      </w:r>
      <w:r w:rsidRPr="009F5F37">
        <w:rPr>
          <w:spacing w:val="-16"/>
        </w:rPr>
        <w:t xml:space="preserve"> </w:t>
      </w:r>
      <w:r>
        <w:t>of</w:t>
      </w:r>
      <w:r w:rsidRPr="009F5F37">
        <w:rPr>
          <w:spacing w:val="-16"/>
        </w:rPr>
        <w:t xml:space="preserve"> </w:t>
      </w:r>
      <w:r w:rsidRPr="009F5F37">
        <w:rPr>
          <w:spacing w:val="-1"/>
        </w:rPr>
        <w:t>affiliate</w:t>
      </w:r>
      <w:r w:rsidRPr="009F5F37">
        <w:rPr>
          <w:spacing w:val="-16"/>
        </w:rPr>
        <w:t xml:space="preserve"> </w:t>
      </w:r>
      <w:r>
        <w:t>costs</w:t>
      </w:r>
      <w:r w:rsidRPr="009F5F37">
        <w:rPr>
          <w:spacing w:val="-16"/>
        </w:rPr>
        <w:t xml:space="preserve"> </w:t>
      </w:r>
      <w:r>
        <w:t>presented</w:t>
      </w:r>
      <w:r w:rsidRPr="009F5F37">
        <w:rPr>
          <w:spacing w:val="-16"/>
        </w:rPr>
        <w:t xml:space="preserve"> </w:t>
      </w:r>
      <w:r>
        <w:t>in</w:t>
      </w:r>
      <w:r w:rsidRPr="009F5F37">
        <w:rPr>
          <w:spacing w:val="-15"/>
        </w:rPr>
        <w:t xml:space="preserve"> </w:t>
      </w:r>
      <w:r>
        <w:t>ETI’s</w:t>
      </w:r>
      <w:r w:rsidRPr="009F5F37">
        <w:rPr>
          <w:spacing w:val="-15"/>
        </w:rPr>
        <w:t xml:space="preserve"> </w:t>
      </w:r>
      <w:r>
        <w:t>application.</w:t>
      </w:r>
    </w:p>
    <w:p w14:paraId="157A523D" w14:textId="77777777" w:rsidR="0060407E" w:rsidRPr="00456AF2" w:rsidRDefault="0060407E" w:rsidP="001C3491">
      <w:pPr>
        <w:pStyle w:val="BodyText"/>
        <w:numPr>
          <w:ilvl w:val="0"/>
          <w:numId w:val="8"/>
        </w:numPr>
        <w:tabs>
          <w:tab w:val="left" w:pos="840"/>
        </w:tabs>
        <w:spacing w:before="69" w:line="360" w:lineRule="auto"/>
        <w:ind w:left="540" w:hanging="540"/>
        <w:jc w:val="both"/>
      </w:pPr>
      <w:r>
        <w:t>To</w:t>
      </w:r>
      <w:r w:rsidRPr="009F5F37">
        <w:rPr>
          <w:spacing w:val="20"/>
        </w:rPr>
        <w:t xml:space="preserve"> </w:t>
      </w:r>
      <w:r>
        <w:t>the</w:t>
      </w:r>
      <w:r w:rsidRPr="009F5F37">
        <w:rPr>
          <w:spacing w:val="20"/>
        </w:rPr>
        <w:t xml:space="preserve"> </w:t>
      </w:r>
      <w:r w:rsidRPr="009F5F37">
        <w:rPr>
          <w:spacing w:val="-1"/>
        </w:rPr>
        <w:t>extent</w:t>
      </w:r>
      <w:r w:rsidRPr="009F5F37">
        <w:rPr>
          <w:spacing w:val="20"/>
        </w:rPr>
        <w:t xml:space="preserve"> </w:t>
      </w:r>
      <w:r w:rsidRPr="009F5F37">
        <w:rPr>
          <w:spacing w:val="-1"/>
        </w:rPr>
        <w:t>that</w:t>
      </w:r>
      <w:r w:rsidRPr="009F5F37">
        <w:rPr>
          <w:spacing w:val="20"/>
        </w:rPr>
        <w:t xml:space="preserve"> </w:t>
      </w:r>
      <w:r w:rsidRPr="009F5F37">
        <w:rPr>
          <w:spacing w:val="-1"/>
        </w:rPr>
        <w:t>affiliate</w:t>
      </w:r>
      <w:r w:rsidRPr="009F5F37">
        <w:rPr>
          <w:spacing w:val="20"/>
        </w:rPr>
        <w:t xml:space="preserve"> </w:t>
      </w:r>
      <w:r w:rsidRPr="009F5F37">
        <w:rPr>
          <w:spacing w:val="-1"/>
        </w:rPr>
        <w:t>costs</w:t>
      </w:r>
      <w:r w:rsidRPr="009F5F37">
        <w:rPr>
          <w:spacing w:val="20"/>
        </w:rPr>
        <w:t xml:space="preserve"> </w:t>
      </w:r>
      <w:r w:rsidRPr="009F5F37">
        <w:rPr>
          <w:spacing w:val="-1"/>
        </w:rPr>
        <w:t>are</w:t>
      </w:r>
      <w:r w:rsidRPr="009F5F37">
        <w:rPr>
          <w:spacing w:val="19"/>
        </w:rPr>
        <w:t xml:space="preserve"> </w:t>
      </w:r>
      <w:r>
        <w:t>included</w:t>
      </w:r>
      <w:r w:rsidRPr="009F5F37">
        <w:rPr>
          <w:spacing w:val="19"/>
        </w:rPr>
        <w:t xml:space="preserve"> </w:t>
      </w:r>
      <w:r>
        <w:t>in</w:t>
      </w:r>
      <w:r w:rsidRPr="009F5F37">
        <w:rPr>
          <w:spacing w:val="19"/>
        </w:rPr>
        <w:t xml:space="preserve"> </w:t>
      </w:r>
      <w:r>
        <w:t>the</w:t>
      </w:r>
      <w:r w:rsidRPr="009F5F37">
        <w:rPr>
          <w:spacing w:val="20"/>
        </w:rPr>
        <w:t xml:space="preserve"> </w:t>
      </w:r>
      <w:r w:rsidRPr="009F5F37">
        <w:rPr>
          <w:spacing w:val="-1"/>
        </w:rPr>
        <w:t>stipulated</w:t>
      </w:r>
      <w:r w:rsidRPr="009F5F37">
        <w:rPr>
          <w:spacing w:val="20"/>
        </w:rPr>
        <w:t xml:space="preserve"> </w:t>
      </w:r>
      <w:r>
        <w:t>revenue</w:t>
      </w:r>
      <w:r w:rsidRPr="009F5F37">
        <w:rPr>
          <w:spacing w:val="20"/>
        </w:rPr>
        <w:t xml:space="preserve"> </w:t>
      </w:r>
      <w:r w:rsidRPr="009F5F37">
        <w:rPr>
          <w:spacing w:val="-1"/>
        </w:rPr>
        <w:t>requirement,</w:t>
      </w:r>
      <w:r w:rsidRPr="009F5F37">
        <w:rPr>
          <w:spacing w:val="19"/>
        </w:rPr>
        <w:t xml:space="preserve"> </w:t>
      </w:r>
      <w:r>
        <w:t>the</w:t>
      </w:r>
      <w:r w:rsidRPr="009F5F37">
        <w:rPr>
          <w:spacing w:val="73"/>
        </w:rPr>
        <w:t xml:space="preserve"> </w:t>
      </w:r>
      <w:r>
        <w:t>price</w:t>
      </w:r>
      <w:r w:rsidRPr="009F5F37">
        <w:rPr>
          <w:spacing w:val="-8"/>
        </w:rPr>
        <w:t xml:space="preserve"> </w:t>
      </w:r>
      <w:r>
        <w:t>charged</w:t>
      </w:r>
      <w:r w:rsidRPr="009F5F37">
        <w:rPr>
          <w:spacing w:val="-6"/>
        </w:rPr>
        <w:t xml:space="preserve"> </w:t>
      </w:r>
      <w:r>
        <w:t>to</w:t>
      </w:r>
      <w:r w:rsidRPr="009F5F37">
        <w:rPr>
          <w:spacing w:val="-6"/>
        </w:rPr>
        <w:t xml:space="preserve"> </w:t>
      </w:r>
      <w:r>
        <w:t>ETI</w:t>
      </w:r>
      <w:r w:rsidRPr="009F5F37">
        <w:rPr>
          <w:spacing w:val="-6"/>
        </w:rPr>
        <w:t xml:space="preserve"> </w:t>
      </w:r>
      <w:r>
        <w:t>is</w:t>
      </w:r>
      <w:r w:rsidRPr="009F5F37">
        <w:rPr>
          <w:spacing w:val="-6"/>
        </w:rPr>
        <w:t xml:space="preserve"> </w:t>
      </w:r>
      <w:r>
        <w:t>not</w:t>
      </w:r>
      <w:r w:rsidRPr="009F5F37">
        <w:rPr>
          <w:spacing w:val="-6"/>
        </w:rPr>
        <w:t xml:space="preserve"> </w:t>
      </w:r>
      <w:r>
        <w:t>higher</w:t>
      </w:r>
      <w:r w:rsidRPr="009F5F37">
        <w:rPr>
          <w:spacing w:val="-6"/>
        </w:rPr>
        <w:t xml:space="preserve"> </w:t>
      </w:r>
      <w:r>
        <w:t>than</w:t>
      </w:r>
      <w:r w:rsidRPr="009F5F37">
        <w:rPr>
          <w:spacing w:val="-6"/>
        </w:rPr>
        <w:t xml:space="preserve"> </w:t>
      </w:r>
      <w:r>
        <w:t>the</w:t>
      </w:r>
      <w:r w:rsidRPr="009F5F37">
        <w:rPr>
          <w:spacing w:val="-6"/>
        </w:rPr>
        <w:t xml:space="preserve"> </w:t>
      </w:r>
      <w:r>
        <w:t>prices</w:t>
      </w:r>
      <w:r w:rsidRPr="009F5F37">
        <w:rPr>
          <w:spacing w:val="-8"/>
        </w:rPr>
        <w:t xml:space="preserve"> </w:t>
      </w:r>
      <w:r>
        <w:t>charged</w:t>
      </w:r>
      <w:r w:rsidRPr="009F5F37">
        <w:rPr>
          <w:spacing w:val="-6"/>
        </w:rPr>
        <w:t xml:space="preserve"> </w:t>
      </w:r>
      <w:r>
        <w:t>by</w:t>
      </w:r>
      <w:r w:rsidRPr="009F5F37">
        <w:rPr>
          <w:spacing w:val="-8"/>
        </w:rPr>
        <w:t xml:space="preserve"> </w:t>
      </w:r>
      <w:r w:rsidRPr="009F5F37">
        <w:rPr>
          <w:spacing w:val="-1"/>
        </w:rPr>
        <w:t>the</w:t>
      </w:r>
      <w:r w:rsidRPr="009F5F37">
        <w:rPr>
          <w:spacing w:val="-6"/>
        </w:rPr>
        <w:t xml:space="preserve"> </w:t>
      </w:r>
      <w:r>
        <w:t>supplying</w:t>
      </w:r>
      <w:r w:rsidRPr="009F5F37">
        <w:rPr>
          <w:spacing w:val="-8"/>
        </w:rPr>
        <w:t xml:space="preserve"> </w:t>
      </w:r>
      <w:r>
        <w:t>affiliate</w:t>
      </w:r>
      <w:r w:rsidRPr="009F5F37">
        <w:rPr>
          <w:spacing w:val="-6"/>
        </w:rPr>
        <w:t xml:space="preserve"> </w:t>
      </w:r>
      <w:r w:rsidRPr="009F5F37">
        <w:rPr>
          <w:spacing w:val="-1"/>
        </w:rPr>
        <w:t>for</w:t>
      </w:r>
      <w:r w:rsidRPr="009F5F37">
        <w:rPr>
          <w:spacing w:val="-8"/>
        </w:rPr>
        <w:t xml:space="preserve"> </w:t>
      </w:r>
      <w:r w:rsidRPr="009F5F37">
        <w:rPr>
          <w:spacing w:val="-1"/>
        </w:rPr>
        <w:t>the same</w:t>
      </w:r>
      <w:r w:rsidRPr="009F5F37">
        <w:rPr>
          <w:spacing w:val="17"/>
        </w:rPr>
        <w:t xml:space="preserve"> </w:t>
      </w:r>
      <w:r>
        <w:t>item</w:t>
      </w:r>
      <w:r w:rsidRPr="009F5F37">
        <w:rPr>
          <w:spacing w:val="14"/>
        </w:rPr>
        <w:t xml:space="preserve"> </w:t>
      </w:r>
      <w:r>
        <w:t>or</w:t>
      </w:r>
      <w:r w:rsidRPr="009F5F37">
        <w:rPr>
          <w:spacing w:val="17"/>
        </w:rPr>
        <w:t xml:space="preserve"> </w:t>
      </w:r>
      <w:r w:rsidRPr="004153DC">
        <w:t>class</w:t>
      </w:r>
      <w:r w:rsidRPr="009F5F37">
        <w:rPr>
          <w:spacing w:val="17"/>
        </w:rPr>
        <w:t xml:space="preserve"> </w:t>
      </w:r>
      <w:r>
        <w:t>of</w:t>
      </w:r>
      <w:r w:rsidRPr="009F5F37">
        <w:rPr>
          <w:spacing w:val="16"/>
        </w:rPr>
        <w:t xml:space="preserve"> </w:t>
      </w:r>
      <w:r w:rsidRPr="009F5F37">
        <w:rPr>
          <w:spacing w:val="-1"/>
        </w:rPr>
        <w:t>items</w:t>
      </w:r>
      <w:r w:rsidRPr="009F5F37">
        <w:rPr>
          <w:spacing w:val="17"/>
        </w:rPr>
        <w:t xml:space="preserve"> </w:t>
      </w:r>
      <w:r>
        <w:t>to</w:t>
      </w:r>
      <w:r w:rsidRPr="009F5F37">
        <w:rPr>
          <w:spacing w:val="17"/>
        </w:rPr>
        <w:t xml:space="preserve"> </w:t>
      </w:r>
      <w:r>
        <w:t>its</w:t>
      </w:r>
      <w:r w:rsidRPr="009F5F37">
        <w:rPr>
          <w:spacing w:val="17"/>
        </w:rPr>
        <w:t xml:space="preserve"> </w:t>
      </w:r>
      <w:r>
        <w:t>other</w:t>
      </w:r>
      <w:r w:rsidRPr="009F5F37">
        <w:rPr>
          <w:spacing w:val="17"/>
        </w:rPr>
        <w:t xml:space="preserve"> </w:t>
      </w:r>
      <w:r w:rsidRPr="009F5F37">
        <w:rPr>
          <w:spacing w:val="-1"/>
        </w:rPr>
        <w:t>affiliates</w:t>
      </w:r>
      <w:r w:rsidRPr="009F5F37">
        <w:rPr>
          <w:spacing w:val="15"/>
        </w:rPr>
        <w:t xml:space="preserve"> </w:t>
      </w:r>
      <w:r>
        <w:t>or</w:t>
      </w:r>
      <w:r w:rsidRPr="009F5F37">
        <w:rPr>
          <w:spacing w:val="17"/>
        </w:rPr>
        <w:t xml:space="preserve"> </w:t>
      </w:r>
      <w:r w:rsidRPr="009F5F37">
        <w:rPr>
          <w:spacing w:val="-1"/>
        </w:rPr>
        <w:t>divisions,</w:t>
      </w:r>
      <w:r w:rsidRPr="009F5F37">
        <w:rPr>
          <w:spacing w:val="16"/>
        </w:rPr>
        <w:t xml:space="preserve"> </w:t>
      </w:r>
      <w:r>
        <w:t>or</w:t>
      </w:r>
      <w:r w:rsidRPr="009F5F37">
        <w:rPr>
          <w:spacing w:val="17"/>
        </w:rPr>
        <w:t xml:space="preserve"> </w:t>
      </w:r>
      <w:r>
        <w:t>a</w:t>
      </w:r>
      <w:r w:rsidRPr="009F5F37">
        <w:rPr>
          <w:spacing w:val="17"/>
        </w:rPr>
        <w:t xml:space="preserve"> </w:t>
      </w:r>
      <w:r w:rsidRPr="009F5F37">
        <w:rPr>
          <w:spacing w:val="-1"/>
        </w:rPr>
        <w:t>non-affiliated</w:t>
      </w:r>
      <w:r w:rsidRPr="009F5F37">
        <w:rPr>
          <w:spacing w:val="17"/>
        </w:rPr>
        <w:t xml:space="preserve"> </w:t>
      </w:r>
      <w:r w:rsidRPr="009F5F37">
        <w:rPr>
          <w:spacing w:val="-1"/>
        </w:rPr>
        <w:t>person</w:t>
      </w:r>
      <w:r w:rsidRPr="009F5F37">
        <w:rPr>
          <w:spacing w:val="71"/>
        </w:rPr>
        <w:t xml:space="preserve"> </w:t>
      </w:r>
      <w:r>
        <w:t xml:space="preserve">within </w:t>
      </w:r>
      <w:r w:rsidRPr="009F5F37">
        <w:rPr>
          <w:spacing w:val="-1"/>
        </w:rPr>
        <w:t>the</w:t>
      </w:r>
      <w:r>
        <w:t xml:space="preserve"> </w:t>
      </w:r>
      <w:r w:rsidRPr="009F5F37">
        <w:rPr>
          <w:spacing w:val="-1"/>
        </w:rPr>
        <w:t>same</w:t>
      </w:r>
      <w:r>
        <w:t xml:space="preserve"> market </w:t>
      </w:r>
      <w:r w:rsidRPr="009F5F37">
        <w:rPr>
          <w:spacing w:val="-1"/>
        </w:rPr>
        <w:t>area</w:t>
      </w:r>
      <w:r>
        <w:t xml:space="preserve"> or </w:t>
      </w:r>
      <w:r w:rsidRPr="009F5F37">
        <w:rPr>
          <w:spacing w:val="-1"/>
        </w:rPr>
        <w:t>having</w:t>
      </w:r>
      <w:r>
        <w:t xml:space="preserve"> the </w:t>
      </w:r>
      <w:r w:rsidRPr="009F5F37">
        <w:rPr>
          <w:spacing w:val="-1"/>
        </w:rPr>
        <w:t>same</w:t>
      </w:r>
      <w:r>
        <w:t xml:space="preserve"> </w:t>
      </w:r>
      <w:r w:rsidRPr="009F5F37">
        <w:rPr>
          <w:spacing w:val="-1"/>
        </w:rPr>
        <w:t>market</w:t>
      </w:r>
      <w:r>
        <w:t xml:space="preserve"> </w:t>
      </w:r>
      <w:r w:rsidRPr="009F5F37">
        <w:rPr>
          <w:spacing w:val="-1"/>
        </w:rPr>
        <w:t>conditions.</w:t>
      </w:r>
    </w:p>
    <w:p w14:paraId="23DFBD27" w14:textId="2448E2C8" w:rsidR="00363B18" w:rsidRDefault="00363B18" w:rsidP="001C3491">
      <w:pPr>
        <w:pStyle w:val="BodyText"/>
        <w:numPr>
          <w:ilvl w:val="0"/>
          <w:numId w:val="8"/>
        </w:numPr>
        <w:tabs>
          <w:tab w:val="left" w:pos="840"/>
        </w:tabs>
        <w:spacing w:line="360" w:lineRule="auto"/>
        <w:ind w:left="540" w:hanging="540"/>
        <w:jc w:val="both"/>
      </w:pPr>
      <w:r>
        <w:t>The</w:t>
      </w:r>
      <w:r>
        <w:rPr>
          <w:spacing w:val="4"/>
        </w:rPr>
        <w:t xml:space="preserve"> </w:t>
      </w:r>
      <w:r>
        <w:t>stipulated</w:t>
      </w:r>
      <w:r>
        <w:rPr>
          <w:spacing w:val="4"/>
        </w:rPr>
        <w:t xml:space="preserve"> </w:t>
      </w:r>
      <w:r>
        <w:t>retail</w:t>
      </w:r>
      <w:r>
        <w:rPr>
          <w:spacing w:val="3"/>
        </w:rPr>
        <w:t xml:space="preserve"> </w:t>
      </w:r>
      <w:r>
        <w:t>revenue</w:t>
      </w:r>
      <w:r>
        <w:rPr>
          <w:spacing w:val="4"/>
        </w:rPr>
        <w:t xml:space="preserve"> </w:t>
      </w:r>
      <w:r>
        <w:rPr>
          <w:spacing w:val="-1"/>
        </w:rPr>
        <w:t>requirement</w:t>
      </w:r>
      <w:r>
        <w:rPr>
          <w:spacing w:val="4"/>
        </w:rPr>
        <w:t xml:space="preserve"> </w:t>
      </w:r>
      <w:r>
        <w:t>is</w:t>
      </w:r>
      <w:r>
        <w:rPr>
          <w:spacing w:val="4"/>
        </w:rPr>
        <w:t xml:space="preserve"> </w:t>
      </w:r>
      <w:r>
        <w:t>just</w:t>
      </w:r>
      <w:r>
        <w:rPr>
          <w:spacing w:val="3"/>
        </w:rPr>
        <w:t xml:space="preserve"> </w:t>
      </w:r>
      <w:r>
        <w:t>and</w:t>
      </w:r>
      <w:r>
        <w:rPr>
          <w:spacing w:val="4"/>
        </w:rPr>
        <w:t xml:space="preserve"> </w:t>
      </w:r>
      <w:r>
        <w:rPr>
          <w:spacing w:val="-1"/>
        </w:rPr>
        <w:t>reasonable</w:t>
      </w:r>
      <w:r>
        <w:rPr>
          <w:spacing w:val="4"/>
        </w:rPr>
        <w:t xml:space="preserve"> </w:t>
      </w:r>
      <w:r>
        <w:rPr>
          <w:spacing w:val="-1"/>
        </w:rPr>
        <w:t>and</w:t>
      </w:r>
      <w:r>
        <w:rPr>
          <w:spacing w:val="4"/>
        </w:rPr>
        <w:t xml:space="preserve"> </w:t>
      </w:r>
      <w:r>
        <w:rPr>
          <w:spacing w:val="-1"/>
        </w:rPr>
        <w:t>does</w:t>
      </w:r>
      <w:r>
        <w:rPr>
          <w:spacing w:val="4"/>
        </w:rPr>
        <w:t xml:space="preserve"> </w:t>
      </w:r>
      <w:r>
        <w:rPr>
          <w:spacing w:val="-1"/>
        </w:rPr>
        <w:t>not</w:t>
      </w:r>
      <w:r>
        <w:rPr>
          <w:spacing w:val="3"/>
        </w:rPr>
        <w:t xml:space="preserve"> </w:t>
      </w:r>
      <w:r>
        <w:rPr>
          <w:spacing w:val="-1"/>
        </w:rPr>
        <w:t>include</w:t>
      </w:r>
      <w:r>
        <w:rPr>
          <w:spacing w:val="3"/>
        </w:rPr>
        <w:t xml:space="preserve"> </w:t>
      </w:r>
      <w:r>
        <w:rPr>
          <w:spacing w:val="-1"/>
        </w:rPr>
        <w:t>any</w:t>
      </w:r>
      <w:r>
        <w:rPr>
          <w:spacing w:val="42"/>
        </w:rPr>
        <w:t xml:space="preserve"> </w:t>
      </w:r>
      <w:r>
        <w:t>expenses prohibited from recovery under PURA.</w:t>
      </w:r>
    </w:p>
    <w:p w14:paraId="596839D0" w14:textId="77777777" w:rsidR="00363B18" w:rsidRDefault="00363B18" w:rsidP="001C3491">
      <w:pPr>
        <w:pStyle w:val="BodyText"/>
        <w:numPr>
          <w:ilvl w:val="0"/>
          <w:numId w:val="8"/>
        </w:numPr>
        <w:tabs>
          <w:tab w:val="left" w:pos="840"/>
        </w:tabs>
        <w:spacing w:line="360" w:lineRule="auto"/>
        <w:ind w:left="540" w:hanging="540"/>
        <w:jc w:val="both"/>
      </w:pPr>
      <w:r>
        <w:t>Except</w:t>
      </w:r>
      <w:r>
        <w:rPr>
          <w:spacing w:val="31"/>
        </w:rPr>
        <w:t xml:space="preserve"> </w:t>
      </w:r>
      <w:r>
        <w:t>as</w:t>
      </w:r>
      <w:r>
        <w:rPr>
          <w:spacing w:val="31"/>
        </w:rPr>
        <w:t xml:space="preserve"> </w:t>
      </w:r>
      <w:r>
        <w:rPr>
          <w:spacing w:val="-1"/>
        </w:rPr>
        <w:t>otherwise</w:t>
      </w:r>
      <w:r>
        <w:rPr>
          <w:spacing w:val="31"/>
        </w:rPr>
        <w:t xml:space="preserve"> </w:t>
      </w:r>
      <w:r>
        <w:rPr>
          <w:spacing w:val="-1"/>
        </w:rPr>
        <w:t>stated</w:t>
      </w:r>
      <w:r>
        <w:rPr>
          <w:spacing w:val="31"/>
        </w:rPr>
        <w:t xml:space="preserve"> </w:t>
      </w:r>
      <w:r>
        <w:t>in</w:t>
      </w:r>
      <w:r>
        <w:rPr>
          <w:spacing w:val="31"/>
        </w:rPr>
        <w:t xml:space="preserve"> </w:t>
      </w:r>
      <w:r>
        <w:t>the</w:t>
      </w:r>
      <w:r>
        <w:rPr>
          <w:spacing w:val="31"/>
        </w:rPr>
        <w:t xml:space="preserve"> </w:t>
      </w:r>
      <w:r>
        <w:rPr>
          <w:spacing w:val="-1"/>
        </w:rPr>
        <w:t>Stipulation</w:t>
      </w:r>
      <w:r>
        <w:rPr>
          <w:spacing w:val="31"/>
        </w:rPr>
        <w:t xml:space="preserve"> </w:t>
      </w:r>
      <w:r>
        <w:rPr>
          <w:spacing w:val="-1"/>
        </w:rPr>
        <w:t>and</w:t>
      </w:r>
      <w:r>
        <w:rPr>
          <w:spacing w:val="31"/>
        </w:rPr>
        <w:t xml:space="preserve"> </w:t>
      </w:r>
      <w:r>
        <w:t>this</w:t>
      </w:r>
      <w:r>
        <w:rPr>
          <w:spacing w:val="31"/>
        </w:rPr>
        <w:t xml:space="preserve"> </w:t>
      </w:r>
      <w:r>
        <w:rPr>
          <w:spacing w:val="-1"/>
        </w:rPr>
        <w:t>Order,</w:t>
      </w:r>
      <w:r>
        <w:rPr>
          <w:spacing w:val="31"/>
        </w:rPr>
        <w:t xml:space="preserve"> </w:t>
      </w:r>
      <w:r>
        <w:rPr>
          <w:spacing w:val="-1"/>
        </w:rPr>
        <w:t>ETI’s</w:t>
      </w:r>
      <w:r>
        <w:rPr>
          <w:spacing w:val="31"/>
        </w:rPr>
        <w:t xml:space="preserve"> </w:t>
      </w:r>
      <w:r>
        <w:rPr>
          <w:spacing w:val="-1"/>
        </w:rPr>
        <w:t>invested</w:t>
      </w:r>
      <w:r>
        <w:rPr>
          <w:spacing w:val="31"/>
        </w:rPr>
        <w:t xml:space="preserve"> </w:t>
      </w:r>
      <w:r>
        <w:rPr>
          <w:spacing w:val="-1"/>
        </w:rPr>
        <w:t>capital</w:t>
      </w:r>
      <w:r>
        <w:rPr>
          <w:spacing w:val="31"/>
        </w:rPr>
        <w:t xml:space="preserve"> </w:t>
      </w:r>
      <w:r>
        <w:t>as</w:t>
      </w:r>
      <w:r>
        <w:rPr>
          <w:spacing w:val="79"/>
        </w:rPr>
        <w:t xml:space="preserve"> </w:t>
      </w:r>
      <w:r>
        <w:t xml:space="preserve">presented in the application </w:t>
      </w:r>
      <w:r>
        <w:rPr>
          <w:spacing w:val="-1"/>
        </w:rPr>
        <w:t>is reasonable, necessary, and used</w:t>
      </w:r>
      <w:r>
        <w:t xml:space="preserve"> and useful.</w:t>
      </w:r>
    </w:p>
    <w:p w14:paraId="0E7EC6B1" w14:textId="56708851" w:rsidR="00363B18" w:rsidRDefault="0041750F" w:rsidP="001C3491">
      <w:pPr>
        <w:pStyle w:val="BodyText"/>
        <w:numPr>
          <w:ilvl w:val="0"/>
          <w:numId w:val="8"/>
        </w:numPr>
        <w:tabs>
          <w:tab w:val="left" w:pos="840"/>
        </w:tabs>
        <w:spacing w:line="360" w:lineRule="auto"/>
        <w:ind w:left="540" w:hanging="540"/>
        <w:jc w:val="both"/>
      </w:pPr>
      <w:r>
        <w:t>The baselines established for transmission, distribution, purchased capacity recovery factor and generation cost riders as described in the Stipulation are reasonable.</w:t>
      </w:r>
      <w:bookmarkStart w:id="0" w:name="_GoBack"/>
      <w:bookmarkEnd w:id="0"/>
    </w:p>
    <w:p w14:paraId="30993DE2" w14:textId="77777777" w:rsidR="00363B18" w:rsidRDefault="00363B18" w:rsidP="001C3491">
      <w:pPr>
        <w:pStyle w:val="BodyText"/>
        <w:numPr>
          <w:ilvl w:val="0"/>
          <w:numId w:val="8"/>
        </w:numPr>
        <w:tabs>
          <w:tab w:val="left" w:pos="840"/>
        </w:tabs>
        <w:ind w:left="540" w:hanging="540"/>
        <w:jc w:val="both"/>
      </w:pPr>
      <w:r>
        <w:t xml:space="preserve">The </w:t>
      </w:r>
      <w:r>
        <w:rPr>
          <w:spacing w:val="-1"/>
        </w:rPr>
        <w:t>treatment</w:t>
      </w:r>
      <w:r>
        <w:t xml:space="preserve"> of depreciation </w:t>
      </w:r>
      <w:r>
        <w:rPr>
          <w:spacing w:val="-1"/>
        </w:rPr>
        <w:t>rates</w:t>
      </w:r>
      <w:r>
        <w:t xml:space="preserve"> in the Stipulation is </w:t>
      </w:r>
      <w:r>
        <w:rPr>
          <w:spacing w:val="-1"/>
        </w:rPr>
        <w:t>reasonable.</w:t>
      </w:r>
    </w:p>
    <w:p w14:paraId="01E7C8D1" w14:textId="62CD0CE5" w:rsidR="00363B18" w:rsidRDefault="00363B18" w:rsidP="001C3491">
      <w:pPr>
        <w:pStyle w:val="BodyText"/>
        <w:numPr>
          <w:ilvl w:val="0"/>
          <w:numId w:val="8"/>
        </w:numPr>
        <w:tabs>
          <w:tab w:val="left" w:pos="840"/>
        </w:tabs>
        <w:spacing w:before="137" w:line="360" w:lineRule="auto"/>
        <w:ind w:left="540" w:hanging="540"/>
        <w:jc w:val="both"/>
      </w:pPr>
      <w:r>
        <w:t xml:space="preserve">The </w:t>
      </w:r>
      <w:r>
        <w:rPr>
          <w:spacing w:val="-1"/>
        </w:rPr>
        <w:t>treatment</w:t>
      </w:r>
      <w:r>
        <w:t xml:space="preserve"> of the </w:t>
      </w:r>
      <w:r w:rsidR="00887168">
        <w:t>amortizations and accruals for pension and other post-retirement benefits tracker regulatory asset</w:t>
      </w:r>
      <w:r w:rsidR="00CC0363">
        <w:t>s</w:t>
      </w:r>
      <w:r w:rsidR="00887168">
        <w:t xml:space="preserve">, self-insurance (storm) reserve accrual, COVID-19 bad debt regulatory asset, and non-advanced metering system regulatory asset </w:t>
      </w:r>
      <w:r>
        <w:t xml:space="preserve">in the </w:t>
      </w:r>
      <w:r>
        <w:rPr>
          <w:spacing w:val="-1"/>
        </w:rPr>
        <w:t>Stipulation</w:t>
      </w:r>
      <w:r>
        <w:t xml:space="preserve"> is reasonable.</w:t>
      </w:r>
    </w:p>
    <w:p w14:paraId="5A33E64E" w14:textId="30F41D38" w:rsidR="00363B18" w:rsidRPr="004107A7" w:rsidRDefault="00363B18" w:rsidP="001C3491">
      <w:pPr>
        <w:pStyle w:val="BodyText"/>
        <w:numPr>
          <w:ilvl w:val="0"/>
          <w:numId w:val="8"/>
        </w:numPr>
        <w:tabs>
          <w:tab w:val="left" w:pos="840"/>
        </w:tabs>
        <w:spacing w:line="360" w:lineRule="auto"/>
        <w:ind w:left="540" w:hanging="540"/>
        <w:jc w:val="both"/>
      </w:pPr>
      <w:r>
        <w:t>The</w:t>
      </w:r>
      <w:r>
        <w:rPr>
          <w:spacing w:val="9"/>
        </w:rPr>
        <w:t xml:space="preserve"> </w:t>
      </w:r>
      <w:r>
        <w:t>agreed</w:t>
      </w:r>
      <w:r>
        <w:rPr>
          <w:spacing w:val="8"/>
        </w:rPr>
        <w:t xml:space="preserve"> </w:t>
      </w:r>
      <w:r>
        <w:t>class</w:t>
      </w:r>
      <w:r>
        <w:rPr>
          <w:spacing w:val="8"/>
        </w:rPr>
        <w:t xml:space="preserve"> </w:t>
      </w:r>
      <w:r>
        <w:rPr>
          <w:spacing w:val="-1"/>
        </w:rPr>
        <w:t>revenue</w:t>
      </w:r>
      <w:r>
        <w:rPr>
          <w:spacing w:val="9"/>
        </w:rPr>
        <w:t xml:space="preserve"> </w:t>
      </w:r>
      <w:r>
        <w:rPr>
          <w:spacing w:val="-1"/>
        </w:rPr>
        <w:t>allocation</w:t>
      </w:r>
      <w:r>
        <w:rPr>
          <w:spacing w:val="8"/>
        </w:rPr>
        <w:t xml:space="preserve"> </w:t>
      </w:r>
      <w:r>
        <w:t>and</w:t>
      </w:r>
      <w:r>
        <w:rPr>
          <w:spacing w:val="9"/>
        </w:rPr>
        <w:t xml:space="preserve"> </w:t>
      </w:r>
      <w:r>
        <w:t>rate</w:t>
      </w:r>
      <w:r>
        <w:rPr>
          <w:spacing w:val="9"/>
        </w:rPr>
        <w:t xml:space="preserve"> </w:t>
      </w:r>
      <w:r>
        <w:rPr>
          <w:spacing w:val="-1"/>
        </w:rPr>
        <w:t>design</w:t>
      </w:r>
      <w:r>
        <w:rPr>
          <w:spacing w:val="9"/>
        </w:rPr>
        <w:t xml:space="preserve"> </w:t>
      </w:r>
      <w:r>
        <w:t>provisions</w:t>
      </w:r>
      <w:r>
        <w:rPr>
          <w:spacing w:val="9"/>
        </w:rPr>
        <w:t xml:space="preserve"> </w:t>
      </w:r>
      <w:r>
        <w:t>and</w:t>
      </w:r>
      <w:r>
        <w:rPr>
          <w:spacing w:val="9"/>
        </w:rPr>
        <w:t xml:space="preserve"> </w:t>
      </w:r>
      <w:r>
        <w:rPr>
          <w:spacing w:val="-1"/>
        </w:rPr>
        <w:t>terms</w:t>
      </w:r>
      <w:r>
        <w:rPr>
          <w:spacing w:val="9"/>
        </w:rPr>
        <w:t xml:space="preserve"> </w:t>
      </w:r>
      <w:r>
        <w:t>and</w:t>
      </w:r>
      <w:r>
        <w:rPr>
          <w:spacing w:val="9"/>
        </w:rPr>
        <w:t xml:space="preserve"> </w:t>
      </w:r>
      <w:r>
        <w:t>conditions</w:t>
      </w:r>
      <w:r>
        <w:rPr>
          <w:spacing w:val="37"/>
        </w:rPr>
        <w:t xml:space="preserve"> </w:t>
      </w:r>
      <w:r>
        <w:t>of service included in</w:t>
      </w:r>
      <w:r>
        <w:rPr>
          <w:spacing w:val="-2"/>
        </w:rPr>
        <w:t xml:space="preserve"> </w:t>
      </w:r>
      <w:r>
        <w:rPr>
          <w:spacing w:val="-1"/>
        </w:rPr>
        <w:t>the</w:t>
      </w:r>
      <w:r>
        <w:t xml:space="preserve"> Stipulation</w:t>
      </w:r>
      <w:r>
        <w:rPr>
          <w:spacing w:val="-2"/>
        </w:rPr>
        <w:t xml:space="preserve"> </w:t>
      </w:r>
      <w:r>
        <w:t xml:space="preserve">are </w:t>
      </w:r>
      <w:r>
        <w:rPr>
          <w:spacing w:val="-1"/>
        </w:rPr>
        <w:t>just</w:t>
      </w:r>
      <w:r>
        <w:t xml:space="preserve"> and</w:t>
      </w:r>
      <w:r>
        <w:rPr>
          <w:spacing w:val="-1"/>
        </w:rPr>
        <w:t xml:space="preserve"> reasonable.</w:t>
      </w:r>
    </w:p>
    <w:p w14:paraId="2011AFE2" w14:textId="77777777" w:rsidR="004107A7" w:rsidRPr="003E01C3" w:rsidRDefault="004107A7" w:rsidP="004107A7">
      <w:pPr>
        <w:pStyle w:val="BodyText"/>
        <w:tabs>
          <w:tab w:val="left" w:pos="840"/>
        </w:tabs>
        <w:spacing w:line="360" w:lineRule="auto"/>
        <w:ind w:left="540" w:firstLine="0"/>
        <w:jc w:val="both"/>
      </w:pPr>
    </w:p>
    <w:p w14:paraId="55E77DEE" w14:textId="77777777" w:rsidR="00363B18" w:rsidRDefault="00363B18" w:rsidP="0086611A">
      <w:pPr>
        <w:pStyle w:val="Heading1"/>
        <w:ind w:left="0"/>
        <w:rPr>
          <w:rFonts w:hint="eastAsia"/>
          <w:b w:val="0"/>
          <w:bCs/>
        </w:rPr>
      </w:pPr>
      <w:r>
        <w:t>Conclusions of Law</w:t>
      </w:r>
    </w:p>
    <w:p w14:paraId="4FDB4C4B" w14:textId="77777777" w:rsidR="00363B18" w:rsidRDefault="00363B18" w:rsidP="001C3491">
      <w:pPr>
        <w:pStyle w:val="BodyText"/>
        <w:numPr>
          <w:ilvl w:val="0"/>
          <w:numId w:val="10"/>
        </w:numPr>
        <w:tabs>
          <w:tab w:val="left" w:pos="840"/>
        </w:tabs>
        <w:spacing w:before="0" w:line="360" w:lineRule="auto"/>
        <w:ind w:left="540" w:hanging="540"/>
        <w:jc w:val="both"/>
      </w:pPr>
      <w:r>
        <w:t>ETI</w:t>
      </w:r>
      <w:r>
        <w:rPr>
          <w:spacing w:val="-4"/>
        </w:rPr>
        <w:t xml:space="preserve"> </w:t>
      </w:r>
      <w:r>
        <w:t>is</w:t>
      </w:r>
      <w:r>
        <w:rPr>
          <w:spacing w:val="-5"/>
        </w:rPr>
        <w:t xml:space="preserve"> </w:t>
      </w:r>
      <w:r>
        <w:t>a</w:t>
      </w:r>
      <w:r>
        <w:rPr>
          <w:spacing w:val="-4"/>
        </w:rPr>
        <w:t xml:space="preserve"> </w:t>
      </w:r>
      <w:r>
        <w:t>public</w:t>
      </w:r>
      <w:r>
        <w:rPr>
          <w:spacing w:val="-4"/>
        </w:rPr>
        <w:t xml:space="preserve"> </w:t>
      </w:r>
      <w:r>
        <w:rPr>
          <w:spacing w:val="-1"/>
        </w:rPr>
        <w:t>utility</w:t>
      </w:r>
      <w:r>
        <w:rPr>
          <w:spacing w:val="-4"/>
        </w:rPr>
        <w:t xml:space="preserve"> </w:t>
      </w:r>
      <w:r>
        <w:t>as</w:t>
      </w:r>
      <w:r>
        <w:rPr>
          <w:spacing w:val="-5"/>
        </w:rPr>
        <w:t xml:space="preserve"> </w:t>
      </w:r>
      <w:r>
        <w:t>that</w:t>
      </w:r>
      <w:r>
        <w:rPr>
          <w:spacing w:val="-5"/>
        </w:rPr>
        <w:t xml:space="preserve"> </w:t>
      </w:r>
      <w:r>
        <w:t>term</w:t>
      </w:r>
      <w:r>
        <w:rPr>
          <w:spacing w:val="-6"/>
        </w:rPr>
        <w:t xml:space="preserve"> </w:t>
      </w:r>
      <w:r>
        <w:t>is</w:t>
      </w:r>
      <w:r>
        <w:rPr>
          <w:spacing w:val="-5"/>
        </w:rPr>
        <w:t xml:space="preserve"> </w:t>
      </w:r>
      <w:r>
        <w:t>defined</w:t>
      </w:r>
      <w:r>
        <w:rPr>
          <w:spacing w:val="-4"/>
        </w:rPr>
        <w:t xml:space="preserve"> </w:t>
      </w:r>
      <w:r>
        <w:t>in</w:t>
      </w:r>
      <w:r>
        <w:rPr>
          <w:spacing w:val="-4"/>
        </w:rPr>
        <w:t xml:space="preserve"> </w:t>
      </w:r>
      <w:r>
        <w:rPr>
          <w:spacing w:val="-1"/>
        </w:rPr>
        <w:t>PURA</w:t>
      </w:r>
      <w:r>
        <w:rPr>
          <w:spacing w:val="-4"/>
        </w:rPr>
        <w:t xml:space="preserve"> </w:t>
      </w:r>
      <w:r>
        <w:t>§</w:t>
      </w:r>
      <w:r>
        <w:rPr>
          <w:spacing w:val="-4"/>
        </w:rPr>
        <w:t xml:space="preserve"> </w:t>
      </w:r>
      <w:r>
        <w:rPr>
          <w:spacing w:val="-1"/>
        </w:rPr>
        <w:t>11.004(1)</w:t>
      </w:r>
      <w:r>
        <w:rPr>
          <w:spacing w:val="-4"/>
        </w:rPr>
        <w:t xml:space="preserve"> </w:t>
      </w:r>
      <w:r>
        <w:t>and</w:t>
      </w:r>
      <w:r>
        <w:rPr>
          <w:spacing w:val="-5"/>
        </w:rPr>
        <w:t xml:space="preserve"> </w:t>
      </w:r>
      <w:r>
        <w:t>an</w:t>
      </w:r>
      <w:r>
        <w:rPr>
          <w:spacing w:val="-5"/>
        </w:rPr>
        <w:t xml:space="preserve"> </w:t>
      </w:r>
      <w:r>
        <w:rPr>
          <w:spacing w:val="-1"/>
        </w:rPr>
        <w:t>electric</w:t>
      </w:r>
      <w:r>
        <w:rPr>
          <w:spacing w:val="-4"/>
        </w:rPr>
        <w:t xml:space="preserve"> </w:t>
      </w:r>
      <w:r>
        <w:rPr>
          <w:spacing w:val="-1"/>
        </w:rPr>
        <w:t>utility</w:t>
      </w:r>
      <w:r>
        <w:rPr>
          <w:spacing w:val="-4"/>
        </w:rPr>
        <w:t xml:space="preserve"> </w:t>
      </w:r>
      <w:r>
        <w:t>as</w:t>
      </w:r>
      <w:r>
        <w:rPr>
          <w:spacing w:val="51"/>
        </w:rPr>
        <w:t xml:space="preserve"> </w:t>
      </w:r>
      <w:r>
        <w:t>that term</w:t>
      </w:r>
      <w:r>
        <w:rPr>
          <w:spacing w:val="-2"/>
        </w:rPr>
        <w:t xml:space="preserve"> </w:t>
      </w:r>
      <w:r>
        <w:t xml:space="preserve">is </w:t>
      </w:r>
      <w:r>
        <w:rPr>
          <w:spacing w:val="-1"/>
        </w:rPr>
        <w:t xml:space="preserve">defined in PURA </w:t>
      </w:r>
      <w:r>
        <w:t>§</w:t>
      </w:r>
      <w:r>
        <w:rPr>
          <w:spacing w:val="-1"/>
        </w:rPr>
        <w:t xml:space="preserve"> 31.002(6).</w:t>
      </w:r>
    </w:p>
    <w:p w14:paraId="2B0AC538" w14:textId="482984E0" w:rsidR="00363B18" w:rsidRDefault="00363B18" w:rsidP="001C3491">
      <w:pPr>
        <w:pStyle w:val="BodyText"/>
        <w:numPr>
          <w:ilvl w:val="0"/>
          <w:numId w:val="10"/>
        </w:numPr>
        <w:tabs>
          <w:tab w:val="left" w:pos="840"/>
        </w:tabs>
        <w:spacing w:line="360" w:lineRule="auto"/>
        <w:ind w:left="540" w:hanging="540"/>
        <w:jc w:val="both"/>
      </w:pPr>
      <w:r>
        <w:rPr>
          <w:spacing w:val="-1"/>
        </w:rPr>
        <w:t>The</w:t>
      </w:r>
      <w:r>
        <w:rPr>
          <w:spacing w:val="2"/>
        </w:rPr>
        <w:t xml:space="preserve"> </w:t>
      </w:r>
      <w:r>
        <w:rPr>
          <w:spacing w:val="-1"/>
        </w:rPr>
        <w:t>Commission</w:t>
      </w:r>
      <w:r>
        <w:rPr>
          <w:spacing w:val="2"/>
        </w:rPr>
        <w:t xml:space="preserve"> </w:t>
      </w:r>
      <w:r>
        <w:rPr>
          <w:spacing w:val="-1"/>
        </w:rPr>
        <w:t>exercises</w:t>
      </w:r>
      <w:r>
        <w:rPr>
          <w:spacing w:val="2"/>
        </w:rPr>
        <w:t xml:space="preserve"> </w:t>
      </w:r>
      <w:r>
        <w:rPr>
          <w:spacing w:val="-1"/>
        </w:rPr>
        <w:t>regulatory</w:t>
      </w:r>
      <w:r>
        <w:rPr>
          <w:spacing w:val="2"/>
        </w:rPr>
        <w:t xml:space="preserve"> </w:t>
      </w:r>
      <w:r>
        <w:t>authority over</w:t>
      </w:r>
      <w:r>
        <w:rPr>
          <w:spacing w:val="2"/>
        </w:rPr>
        <w:t xml:space="preserve"> </w:t>
      </w:r>
      <w:r>
        <w:t>ETI and</w:t>
      </w:r>
      <w:r>
        <w:rPr>
          <w:spacing w:val="2"/>
        </w:rPr>
        <w:t xml:space="preserve"> </w:t>
      </w:r>
      <w:r>
        <w:rPr>
          <w:spacing w:val="-1"/>
        </w:rPr>
        <w:t>jurisdiction</w:t>
      </w:r>
      <w:r>
        <w:rPr>
          <w:spacing w:val="2"/>
        </w:rPr>
        <w:t xml:space="preserve"> </w:t>
      </w:r>
      <w:r>
        <w:t>over the</w:t>
      </w:r>
      <w:r>
        <w:rPr>
          <w:spacing w:val="2"/>
        </w:rPr>
        <w:t xml:space="preserve"> </w:t>
      </w:r>
      <w:r>
        <w:t>subject</w:t>
      </w:r>
      <w:r>
        <w:rPr>
          <w:spacing w:val="39"/>
        </w:rPr>
        <w:t xml:space="preserve"> </w:t>
      </w:r>
      <w:r>
        <w:rPr>
          <w:spacing w:val="-1"/>
        </w:rPr>
        <w:t>matter</w:t>
      </w:r>
      <w:r>
        <w:rPr>
          <w:spacing w:val="6"/>
        </w:rPr>
        <w:t xml:space="preserve"> </w:t>
      </w:r>
      <w:r>
        <w:t>of</w:t>
      </w:r>
      <w:r>
        <w:rPr>
          <w:spacing w:val="6"/>
        </w:rPr>
        <w:t xml:space="preserve"> </w:t>
      </w:r>
      <w:r>
        <w:t>this</w:t>
      </w:r>
      <w:r>
        <w:rPr>
          <w:spacing w:val="6"/>
        </w:rPr>
        <w:t xml:space="preserve"> </w:t>
      </w:r>
      <w:r>
        <w:t>application</w:t>
      </w:r>
      <w:r>
        <w:rPr>
          <w:spacing w:val="6"/>
        </w:rPr>
        <w:t xml:space="preserve"> </w:t>
      </w:r>
      <w:r>
        <w:t>pursuant</w:t>
      </w:r>
      <w:r>
        <w:rPr>
          <w:spacing w:val="6"/>
        </w:rPr>
        <w:t xml:space="preserve"> </w:t>
      </w:r>
      <w:r>
        <w:t>to</w:t>
      </w:r>
      <w:r>
        <w:rPr>
          <w:spacing w:val="4"/>
        </w:rPr>
        <w:t xml:space="preserve"> </w:t>
      </w:r>
      <w:r>
        <w:rPr>
          <w:spacing w:val="-1"/>
        </w:rPr>
        <w:t>PURA</w:t>
      </w:r>
      <w:r>
        <w:rPr>
          <w:spacing w:val="6"/>
        </w:rPr>
        <w:t xml:space="preserve"> </w:t>
      </w:r>
      <w:r>
        <w:t>§§</w:t>
      </w:r>
      <w:r>
        <w:rPr>
          <w:spacing w:val="6"/>
        </w:rPr>
        <w:t xml:space="preserve"> </w:t>
      </w:r>
      <w:r>
        <w:t>14.001,</w:t>
      </w:r>
      <w:r>
        <w:rPr>
          <w:spacing w:val="6"/>
        </w:rPr>
        <w:t xml:space="preserve"> </w:t>
      </w:r>
      <w:r>
        <w:t>32.001,</w:t>
      </w:r>
      <w:r>
        <w:rPr>
          <w:spacing w:val="6"/>
        </w:rPr>
        <w:t xml:space="preserve"> </w:t>
      </w:r>
      <w:r>
        <w:rPr>
          <w:spacing w:val="-1"/>
        </w:rPr>
        <w:t>36.001-.112,</w:t>
      </w:r>
      <w:r>
        <w:rPr>
          <w:spacing w:val="5"/>
        </w:rPr>
        <w:t xml:space="preserve"> </w:t>
      </w:r>
      <w:r>
        <w:rPr>
          <w:spacing w:val="-1"/>
        </w:rPr>
        <w:t>36.211,</w:t>
      </w:r>
      <w:r>
        <w:rPr>
          <w:spacing w:val="5"/>
        </w:rPr>
        <w:t xml:space="preserve"> </w:t>
      </w:r>
      <w:r w:rsidR="000215F8">
        <w:rPr>
          <w:spacing w:val="5"/>
        </w:rPr>
        <w:t xml:space="preserve">39.452(k), </w:t>
      </w:r>
      <w:r>
        <w:rPr>
          <w:spacing w:val="-1"/>
        </w:rPr>
        <w:t>and</w:t>
      </w:r>
      <w:r>
        <w:rPr>
          <w:spacing w:val="29"/>
        </w:rPr>
        <w:t xml:space="preserve"> </w:t>
      </w:r>
      <w:r>
        <w:t>16 TAC §</w:t>
      </w:r>
      <w:r w:rsidR="004153DC">
        <w:t>§ 25.130</w:t>
      </w:r>
      <w:r>
        <w:t xml:space="preserve"> </w:t>
      </w:r>
      <w:r w:rsidR="004153DC">
        <w:t xml:space="preserve">and </w:t>
      </w:r>
      <w:r>
        <w:t>25.231.</w:t>
      </w:r>
    </w:p>
    <w:p w14:paraId="573CC55E" w14:textId="77777777" w:rsidR="00363B18" w:rsidRDefault="00363B18" w:rsidP="001C3491">
      <w:pPr>
        <w:pStyle w:val="BodyText"/>
        <w:numPr>
          <w:ilvl w:val="0"/>
          <w:numId w:val="10"/>
        </w:numPr>
        <w:tabs>
          <w:tab w:val="left" w:pos="840"/>
        </w:tabs>
        <w:spacing w:line="360" w:lineRule="auto"/>
        <w:ind w:left="540" w:hanging="540"/>
        <w:jc w:val="both"/>
      </w:pPr>
      <w:r>
        <w:rPr>
          <w:spacing w:val="-1"/>
        </w:rPr>
        <w:t>The</w:t>
      </w:r>
      <w:r>
        <w:rPr>
          <w:spacing w:val="33"/>
        </w:rPr>
        <w:t xml:space="preserve"> </w:t>
      </w:r>
      <w:r>
        <w:rPr>
          <w:spacing w:val="-1"/>
        </w:rPr>
        <w:t>Commission</w:t>
      </w:r>
      <w:r>
        <w:rPr>
          <w:spacing w:val="33"/>
        </w:rPr>
        <w:t xml:space="preserve"> </w:t>
      </w:r>
      <w:r>
        <w:rPr>
          <w:spacing w:val="-1"/>
        </w:rPr>
        <w:t>has</w:t>
      </w:r>
      <w:r>
        <w:rPr>
          <w:spacing w:val="32"/>
        </w:rPr>
        <w:t xml:space="preserve"> </w:t>
      </w:r>
      <w:r>
        <w:rPr>
          <w:spacing w:val="-1"/>
        </w:rPr>
        <w:t>jurisdiction</w:t>
      </w:r>
      <w:r>
        <w:rPr>
          <w:spacing w:val="33"/>
        </w:rPr>
        <w:t xml:space="preserve"> </w:t>
      </w:r>
      <w:r>
        <w:rPr>
          <w:spacing w:val="-1"/>
        </w:rPr>
        <w:t>over</w:t>
      </w:r>
      <w:r>
        <w:rPr>
          <w:spacing w:val="33"/>
        </w:rPr>
        <w:t xml:space="preserve"> </w:t>
      </w:r>
      <w:r>
        <w:t>an</w:t>
      </w:r>
      <w:r>
        <w:rPr>
          <w:spacing w:val="33"/>
        </w:rPr>
        <w:t xml:space="preserve"> </w:t>
      </w:r>
      <w:r>
        <w:t>appeal</w:t>
      </w:r>
      <w:r>
        <w:rPr>
          <w:spacing w:val="33"/>
        </w:rPr>
        <w:t xml:space="preserve"> </w:t>
      </w:r>
      <w:r>
        <w:rPr>
          <w:spacing w:val="-1"/>
        </w:rPr>
        <w:t>from</w:t>
      </w:r>
      <w:r>
        <w:rPr>
          <w:spacing w:val="32"/>
        </w:rPr>
        <w:t xml:space="preserve"> </w:t>
      </w:r>
      <w:r>
        <w:t>municipalities’</w:t>
      </w:r>
      <w:r>
        <w:rPr>
          <w:spacing w:val="32"/>
        </w:rPr>
        <w:t xml:space="preserve"> </w:t>
      </w:r>
      <w:r>
        <w:t>rate</w:t>
      </w:r>
      <w:r>
        <w:rPr>
          <w:spacing w:val="33"/>
        </w:rPr>
        <w:t xml:space="preserve"> </w:t>
      </w:r>
      <w:r>
        <w:t>proceedings</w:t>
      </w:r>
      <w:r>
        <w:rPr>
          <w:spacing w:val="23"/>
        </w:rPr>
        <w:t xml:space="preserve"> </w:t>
      </w:r>
      <w:r>
        <w:rPr>
          <w:spacing w:val="-1"/>
        </w:rPr>
        <w:t xml:space="preserve">under PURA </w:t>
      </w:r>
      <w:r>
        <w:t>§</w:t>
      </w:r>
      <w:r>
        <w:rPr>
          <w:spacing w:val="-1"/>
        </w:rPr>
        <w:t xml:space="preserve"> 33.051.</w:t>
      </w:r>
    </w:p>
    <w:p w14:paraId="516C80B0" w14:textId="1A165C75" w:rsidR="00363B18" w:rsidRDefault="00363B18" w:rsidP="001C3491">
      <w:pPr>
        <w:pStyle w:val="BodyText"/>
        <w:numPr>
          <w:ilvl w:val="0"/>
          <w:numId w:val="10"/>
        </w:numPr>
        <w:tabs>
          <w:tab w:val="left" w:pos="840"/>
        </w:tabs>
        <w:spacing w:line="360" w:lineRule="auto"/>
        <w:ind w:left="540" w:hanging="540"/>
        <w:jc w:val="both"/>
      </w:pPr>
      <w:r>
        <w:t>This</w:t>
      </w:r>
      <w:r>
        <w:rPr>
          <w:spacing w:val="37"/>
        </w:rPr>
        <w:t xml:space="preserve"> </w:t>
      </w:r>
      <w:r>
        <w:t>docket</w:t>
      </w:r>
      <w:r>
        <w:rPr>
          <w:spacing w:val="37"/>
        </w:rPr>
        <w:t xml:space="preserve"> </w:t>
      </w:r>
      <w:r>
        <w:t>was</w:t>
      </w:r>
      <w:r>
        <w:rPr>
          <w:spacing w:val="37"/>
        </w:rPr>
        <w:t xml:space="preserve"> </w:t>
      </w:r>
      <w:r>
        <w:rPr>
          <w:spacing w:val="-1"/>
        </w:rPr>
        <w:t>processed</w:t>
      </w:r>
      <w:r>
        <w:rPr>
          <w:spacing w:val="37"/>
        </w:rPr>
        <w:t xml:space="preserve"> </w:t>
      </w:r>
      <w:r>
        <w:t>in</w:t>
      </w:r>
      <w:r>
        <w:rPr>
          <w:spacing w:val="37"/>
        </w:rPr>
        <w:t xml:space="preserve"> </w:t>
      </w:r>
      <w:r>
        <w:rPr>
          <w:spacing w:val="-1"/>
        </w:rPr>
        <w:t>accordance</w:t>
      </w:r>
      <w:r>
        <w:rPr>
          <w:spacing w:val="37"/>
        </w:rPr>
        <w:t xml:space="preserve"> </w:t>
      </w:r>
      <w:r>
        <w:t>with</w:t>
      </w:r>
      <w:r>
        <w:rPr>
          <w:spacing w:val="36"/>
        </w:rPr>
        <w:t xml:space="preserve"> </w:t>
      </w:r>
      <w:r>
        <w:t>the</w:t>
      </w:r>
      <w:r>
        <w:rPr>
          <w:spacing w:val="37"/>
        </w:rPr>
        <w:t xml:space="preserve"> </w:t>
      </w:r>
      <w:r>
        <w:rPr>
          <w:spacing w:val="-1"/>
        </w:rPr>
        <w:t>requirements</w:t>
      </w:r>
      <w:r>
        <w:rPr>
          <w:spacing w:val="37"/>
        </w:rPr>
        <w:t xml:space="preserve"> </w:t>
      </w:r>
      <w:r>
        <w:t>of</w:t>
      </w:r>
      <w:r>
        <w:rPr>
          <w:spacing w:val="37"/>
        </w:rPr>
        <w:t xml:space="preserve"> </w:t>
      </w:r>
      <w:r>
        <w:rPr>
          <w:spacing w:val="-1"/>
        </w:rPr>
        <w:t>PURA,</w:t>
      </w:r>
      <w:r>
        <w:rPr>
          <w:spacing w:val="38"/>
        </w:rPr>
        <w:t xml:space="preserve"> </w:t>
      </w:r>
      <w:r w:rsidR="004153DC">
        <w:rPr>
          <w:spacing w:val="-1"/>
        </w:rPr>
        <w:t>t</w:t>
      </w:r>
      <w:r>
        <w:rPr>
          <w:spacing w:val="-1"/>
        </w:rPr>
        <w:t>he</w:t>
      </w:r>
      <w:r>
        <w:rPr>
          <w:spacing w:val="38"/>
        </w:rPr>
        <w:t xml:space="preserve"> </w:t>
      </w:r>
      <w:r>
        <w:rPr>
          <w:spacing w:val="-1"/>
        </w:rPr>
        <w:t>Texas</w:t>
      </w:r>
      <w:r>
        <w:rPr>
          <w:spacing w:val="52"/>
        </w:rPr>
        <w:t xml:space="preserve"> </w:t>
      </w:r>
      <w:r>
        <w:rPr>
          <w:spacing w:val="-1"/>
        </w:rPr>
        <w:lastRenderedPageBreak/>
        <w:t>Administrative</w:t>
      </w:r>
      <w:r>
        <w:t xml:space="preserve"> Procedure</w:t>
      </w:r>
      <w:r>
        <w:rPr>
          <w:spacing w:val="-1"/>
        </w:rPr>
        <w:t xml:space="preserve"> Act, and Commission rules.</w:t>
      </w:r>
    </w:p>
    <w:p w14:paraId="4A91BC19" w14:textId="77777777" w:rsidR="00363B18" w:rsidRDefault="00363B18" w:rsidP="001C3491">
      <w:pPr>
        <w:pStyle w:val="BodyText"/>
        <w:numPr>
          <w:ilvl w:val="0"/>
          <w:numId w:val="10"/>
        </w:numPr>
        <w:tabs>
          <w:tab w:val="left" w:pos="840"/>
        </w:tabs>
        <w:spacing w:line="360" w:lineRule="auto"/>
        <w:ind w:left="540" w:hanging="540"/>
        <w:jc w:val="both"/>
      </w:pPr>
      <w:r>
        <w:t>ETI</w:t>
      </w:r>
      <w:r>
        <w:rPr>
          <w:spacing w:val="2"/>
        </w:rPr>
        <w:t xml:space="preserve"> </w:t>
      </w:r>
      <w:r>
        <w:t>provided</w:t>
      </w:r>
      <w:r>
        <w:rPr>
          <w:spacing w:val="2"/>
        </w:rPr>
        <w:t xml:space="preserve"> </w:t>
      </w:r>
      <w:r>
        <w:t>notice</w:t>
      </w:r>
      <w:r>
        <w:rPr>
          <w:spacing w:val="2"/>
        </w:rPr>
        <w:t xml:space="preserve"> </w:t>
      </w:r>
      <w:r>
        <w:t>of</w:t>
      </w:r>
      <w:r>
        <w:rPr>
          <w:spacing w:val="2"/>
        </w:rPr>
        <w:t xml:space="preserve"> </w:t>
      </w:r>
      <w:r>
        <w:t>the</w:t>
      </w:r>
      <w:r>
        <w:rPr>
          <w:spacing w:val="2"/>
        </w:rPr>
        <w:t xml:space="preserve"> </w:t>
      </w:r>
      <w:r>
        <w:rPr>
          <w:spacing w:val="-1"/>
        </w:rPr>
        <w:t>application</w:t>
      </w:r>
      <w:r>
        <w:rPr>
          <w:spacing w:val="2"/>
        </w:rPr>
        <w:t xml:space="preserve"> </w:t>
      </w:r>
      <w:r>
        <w:t>in</w:t>
      </w:r>
      <w:r>
        <w:rPr>
          <w:spacing w:val="2"/>
        </w:rPr>
        <w:t xml:space="preserve"> </w:t>
      </w:r>
      <w:r>
        <w:rPr>
          <w:spacing w:val="-1"/>
        </w:rPr>
        <w:t>compliance</w:t>
      </w:r>
      <w:r>
        <w:rPr>
          <w:spacing w:val="2"/>
        </w:rPr>
        <w:t xml:space="preserve"> </w:t>
      </w:r>
      <w:r>
        <w:t>with</w:t>
      </w:r>
      <w:r>
        <w:rPr>
          <w:spacing w:val="2"/>
        </w:rPr>
        <w:t xml:space="preserve"> </w:t>
      </w:r>
      <w:r>
        <w:rPr>
          <w:spacing w:val="-1"/>
        </w:rPr>
        <w:t>PURA</w:t>
      </w:r>
      <w:r>
        <w:t xml:space="preserve"> §</w:t>
      </w:r>
      <w:r>
        <w:rPr>
          <w:spacing w:val="2"/>
        </w:rPr>
        <w:t xml:space="preserve"> </w:t>
      </w:r>
      <w:r>
        <w:t>36.103</w:t>
      </w:r>
      <w:r>
        <w:rPr>
          <w:spacing w:val="2"/>
        </w:rPr>
        <w:t xml:space="preserve"> </w:t>
      </w:r>
      <w:r>
        <w:t>and</w:t>
      </w:r>
      <w:r>
        <w:rPr>
          <w:spacing w:val="2"/>
        </w:rPr>
        <w:t xml:space="preserve"> </w:t>
      </w:r>
      <w:r>
        <w:t>16</w:t>
      </w:r>
      <w:r>
        <w:rPr>
          <w:spacing w:val="2"/>
        </w:rPr>
        <w:t xml:space="preserve"> </w:t>
      </w:r>
      <w:r>
        <w:t>TAC</w:t>
      </w:r>
      <w:r>
        <w:rPr>
          <w:spacing w:val="2"/>
        </w:rPr>
        <w:t xml:space="preserve"> </w:t>
      </w:r>
      <w:r>
        <w:t>§</w:t>
      </w:r>
      <w:r>
        <w:rPr>
          <w:spacing w:val="41"/>
        </w:rPr>
        <w:t xml:space="preserve"> </w:t>
      </w:r>
      <w:r>
        <w:rPr>
          <w:spacing w:val="-1"/>
        </w:rPr>
        <w:t>22.51(a).</w:t>
      </w:r>
    </w:p>
    <w:p w14:paraId="53E9F4F4" w14:textId="42DAA1D3" w:rsidR="00363B18" w:rsidRPr="00FA5B2C" w:rsidRDefault="00363B18" w:rsidP="001C3491">
      <w:pPr>
        <w:pStyle w:val="BodyText"/>
        <w:numPr>
          <w:ilvl w:val="0"/>
          <w:numId w:val="10"/>
        </w:numPr>
        <w:tabs>
          <w:tab w:val="left" w:pos="840"/>
        </w:tabs>
        <w:ind w:left="540" w:hanging="540"/>
        <w:jc w:val="both"/>
      </w:pPr>
      <w:r>
        <w:t xml:space="preserve">This docket contains no </w:t>
      </w:r>
      <w:r>
        <w:rPr>
          <w:spacing w:val="-1"/>
        </w:rPr>
        <w:t>remaining</w:t>
      </w:r>
      <w:r>
        <w:t xml:space="preserve"> contested issues of fact or </w:t>
      </w:r>
      <w:r>
        <w:rPr>
          <w:spacing w:val="-1"/>
        </w:rPr>
        <w:t>law.</w:t>
      </w:r>
    </w:p>
    <w:p w14:paraId="5AEBE135" w14:textId="116A328E" w:rsidR="00363B18" w:rsidRDefault="00363B18" w:rsidP="001C3491">
      <w:pPr>
        <w:pStyle w:val="BodyText"/>
        <w:numPr>
          <w:ilvl w:val="0"/>
          <w:numId w:val="10"/>
        </w:numPr>
        <w:tabs>
          <w:tab w:val="left" w:pos="840"/>
        </w:tabs>
        <w:spacing w:before="69" w:line="360" w:lineRule="auto"/>
        <w:ind w:left="540" w:hanging="540"/>
        <w:jc w:val="both"/>
      </w:pPr>
      <w:r>
        <w:t>This</w:t>
      </w:r>
      <w:r w:rsidRPr="00FA5B2C">
        <w:rPr>
          <w:spacing w:val="-6"/>
        </w:rPr>
        <w:t xml:space="preserve"> </w:t>
      </w:r>
      <w:r w:rsidRPr="00FA5B2C">
        <w:rPr>
          <w:spacing w:val="-1"/>
        </w:rPr>
        <w:t>Order</w:t>
      </w:r>
      <w:r w:rsidRPr="00FA5B2C">
        <w:rPr>
          <w:spacing w:val="-6"/>
        </w:rPr>
        <w:t xml:space="preserve"> </w:t>
      </w:r>
      <w:r w:rsidRPr="00FA5B2C">
        <w:rPr>
          <w:spacing w:val="-1"/>
        </w:rPr>
        <w:t>is</w:t>
      </w:r>
      <w:r w:rsidRPr="00FA5B2C">
        <w:rPr>
          <w:spacing w:val="-6"/>
        </w:rPr>
        <w:t xml:space="preserve"> </w:t>
      </w:r>
      <w:r>
        <w:t>a</w:t>
      </w:r>
      <w:r w:rsidRPr="00FA5B2C">
        <w:rPr>
          <w:spacing w:val="-8"/>
        </w:rPr>
        <w:t xml:space="preserve"> </w:t>
      </w:r>
      <w:r>
        <w:t>just</w:t>
      </w:r>
      <w:r w:rsidRPr="00FA5B2C">
        <w:rPr>
          <w:spacing w:val="-6"/>
        </w:rPr>
        <w:t xml:space="preserve"> </w:t>
      </w:r>
      <w:r>
        <w:t>and</w:t>
      </w:r>
      <w:r w:rsidRPr="00FA5B2C">
        <w:rPr>
          <w:spacing w:val="-8"/>
        </w:rPr>
        <w:t xml:space="preserve"> </w:t>
      </w:r>
      <w:r w:rsidRPr="00FA5B2C">
        <w:rPr>
          <w:spacing w:val="-1"/>
        </w:rPr>
        <w:t>reasonable</w:t>
      </w:r>
      <w:r w:rsidRPr="00FA5B2C">
        <w:rPr>
          <w:spacing w:val="-6"/>
        </w:rPr>
        <w:t xml:space="preserve"> </w:t>
      </w:r>
      <w:r w:rsidRPr="00FA5B2C">
        <w:rPr>
          <w:spacing w:val="-1"/>
        </w:rPr>
        <w:t>resolution</w:t>
      </w:r>
      <w:r w:rsidRPr="00FA5B2C">
        <w:rPr>
          <w:spacing w:val="-8"/>
        </w:rPr>
        <w:t xml:space="preserve"> </w:t>
      </w:r>
      <w:r>
        <w:t>of</w:t>
      </w:r>
      <w:r w:rsidRPr="00FA5B2C">
        <w:rPr>
          <w:spacing w:val="-7"/>
        </w:rPr>
        <w:t xml:space="preserve"> </w:t>
      </w:r>
      <w:r w:rsidRPr="00FA5B2C">
        <w:rPr>
          <w:spacing w:val="-1"/>
        </w:rPr>
        <w:t>all</w:t>
      </w:r>
      <w:r w:rsidRPr="00FA5B2C">
        <w:rPr>
          <w:spacing w:val="-8"/>
        </w:rPr>
        <w:t xml:space="preserve"> </w:t>
      </w:r>
      <w:r w:rsidRPr="00FA5B2C">
        <w:rPr>
          <w:spacing w:val="-1"/>
        </w:rPr>
        <w:t>issues</w:t>
      </w:r>
      <w:r w:rsidRPr="00FA5B2C">
        <w:rPr>
          <w:spacing w:val="-6"/>
        </w:rPr>
        <w:t xml:space="preserve"> </w:t>
      </w:r>
      <w:r w:rsidRPr="00FA5B2C">
        <w:rPr>
          <w:spacing w:val="-1"/>
        </w:rPr>
        <w:t>it</w:t>
      </w:r>
      <w:r w:rsidRPr="00FA5B2C">
        <w:rPr>
          <w:spacing w:val="-8"/>
        </w:rPr>
        <w:t xml:space="preserve"> </w:t>
      </w:r>
      <w:r w:rsidRPr="00FA5B2C">
        <w:rPr>
          <w:spacing w:val="-1"/>
        </w:rPr>
        <w:t>addresses;</w:t>
      </w:r>
      <w:r w:rsidRPr="00FA5B2C">
        <w:rPr>
          <w:spacing w:val="-7"/>
        </w:rPr>
        <w:t xml:space="preserve"> </w:t>
      </w:r>
      <w:r w:rsidRPr="00FA5B2C">
        <w:rPr>
          <w:spacing w:val="-1"/>
        </w:rPr>
        <w:t>resulting</w:t>
      </w:r>
      <w:r w:rsidRPr="00FA5B2C">
        <w:rPr>
          <w:spacing w:val="-8"/>
        </w:rPr>
        <w:t xml:space="preserve"> </w:t>
      </w:r>
      <w:r>
        <w:t>in</w:t>
      </w:r>
      <w:r w:rsidRPr="00FA5B2C">
        <w:rPr>
          <w:spacing w:val="-8"/>
        </w:rPr>
        <w:t xml:space="preserve"> </w:t>
      </w:r>
      <w:r w:rsidRPr="00FA5B2C">
        <w:rPr>
          <w:spacing w:val="-1"/>
        </w:rPr>
        <w:t>just</w:t>
      </w:r>
      <w:r w:rsidRPr="00FA5B2C">
        <w:rPr>
          <w:spacing w:val="-7"/>
        </w:rPr>
        <w:t xml:space="preserve"> </w:t>
      </w:r>
      <w:r>
        <w:t>and</w:t>
      </w:r>
      <w:r w:rsidRPr="00FA5B2C">
        <w:rPr>
          <w:spacing w:val="93"/>
        </w:rPr>
        <w:t xml:space="preserve"> </w:t>
      </w:r>
      <w:r>
        <w:t>reasonable</w:t>
      </w:r>
      <w:r w:rsidRPr="00FA5B2C">
        <w:rPr>
          <w:spacing w:val="25"/>
        </w:rPr>
        <w:t xml:space="preserve"> </w:t>
      </w:r>
      <w:r>
        <w:t>rates,</w:t>
      </w:r>
      <w:r w:rsidRPr="00FA5B2C">
        <w:rPr>
          <w:spacing w:val="25"/>
        </w:rPr>
        <w:t xml:space="preserve"> </w:t>
      </w:r>
      <w:r w:rsidRPr="00FA5B2C">
        <w:rPr>
          <w:spacing w:val="-1"/>
        </w:rPr>
        <w:t>terms</w:t>
      </w:r>
      <w:r w:rsidRPr="00FA5B2C">
        <w:rPr>
          <w:spacing w:val="25"/>
        </w:rPr>
        <w:t xml:space="preserve"> </w:t>
      </w:r>
      <w:r>
        <w:t>and</w:t>
      </w:r>
      <w:r w:rsidRPr="00FA5B2C">
        <w:rPr>
          <w:spacing w:val="25"/>
        </w:rPr>
        <w:t xml:space="preserve"> </w:t>
      </w:r>
      <w:r>
        <w:t>conditions;</w:t>
      </w:r>
      <w:r w:rsidRPr="00FA5B2C">
        <w:rPr>
          <w:spacing w:val="25"/>
        </w:rPr>
        <w:t xml:space="preserve"> </w:t>
      </w:r>
      <w:r>
        <w:t>is</w:t>
      </w:r>
      <w:r w:rsidRPr="00FA5B2C">
        <w:rPr>
          <w:spacing w:val="25"/>
        </w:rPr>
        <w:t xml:space="preserve"> </w:t>
      </w:r>
      <w:r>
        <w:t>supported</w:t>
      </w:r>
      <w:r w:rsidRPr="00FA5B2C">
        <w:rPr>
          <w:spacing w:val="25"/>
        </w:rPr>
        <w:t xml:space="preserve"> </w:t>
      </w:r>
      <w:r>
        <w:t>by</w:t>
      </w:r>
      <w:r w:rsidRPr="00FA5B2C">
        <w:rPr>
          <w:spacing w:val="25"/>
        </w:rPr>
        <w:t xml:space="preserve"> </w:t>
      </w:r>
      <w:r>
        <w:t>a</w:t>
      </w:r>
      <w:r w:rsidRPr="00FA5B2C">
        <w:rPr>
          <w:spacing w:val="25"/>
        </w:rPr>
        <w:t xml:space="preserve"> </w:t>
      </w:r>
      <w:r w:rsidRPr="00FA5B2C">
        <w:rPr>
          <w:spacing w:val="-1"/>
        </w:rPr>
        <w:t>preponderance</w:t>
      </w:r>
      <w:r w:rsidRPr="00FA5B2C">
        <w:rPr>
          <w:spacing w:val="25"/>
        </w:rPr>
        <w:t xml:space="preserve"> </w:t>
      </w:r>
      <w:r w:rsidRPr="00FA5B2C">
        <w:rPr>
          <w:spacing w:val="-1"/>
        </w:rPr>
        <w:t>of</w:t>
      </w:r>
      <w:r w:rsidRPr="00FA5B2C">
        <w:rPr>
          <w:spacing w:val="25"/>
        </w:rPr>
        <w:t xml:space="preserve"> </w:t>
      </w:r>
      <w:r w:rsidRPr="00FA5B2C">
        <w:rPr>
          <w:spacing w:val="-1"/>
        </w:rPr>
        <w:t>the</w:t>
      </w:r>
      <w:r w:rsidRPr="00FA5B2C">
        <w:rPr>
          <w:spacing w:val="25"/>
        </w:rPr>
        <w:t xml:space="preserve"> </w:t>
      </w:r>
      <w:r w:rsidRPr="00FA5B2C">
        <w:rPr>
          <w:spacing w:val="-1"/>
        </w:rPr>
        <w:t>credible</w:t>
      </w:r>
      <w:r w:rsidR="00FA5B2C" w:rsidRPr="00FA5B2C">
        <w:rPr>
          <w:spacing w:val="-1"/>
        </w:rPr>
        <w:t xml:space="preserve"> </w:t>
      </w:r>
      <w:r>
        <w:t>evidence</w:t>
      </w:r>
      <w:r w:rsidRPr="00FA5B2C">
        <w:rPr>
          <w:spacing w:val="-16"/>
        </w:rPr>
        <w:t xml:space="preserve"> </w:t>
      </w:r>
      <w:r>
        <w:t>in</w:t>
      </w:r>
      <w:r w:rsidRPr="00FA5B2C">
        <w:rPr>
          <w:spacing w:val="-15"/>
        </w:rPr>
        <w:t xml:space="preserve"> </w:t>
      </w:r>
      <w:r w:rsidRPr="00FA5B2C">
        <w:rPr>
          <w:spacing w:val="-1"/>
        </w:rPr>
        <w:t>the</w:t>
      </w:r>
      <w:r w:rsidRPr="00FA5B2C">
        <w:rPr>
          <w:spacing w:val="-15"/>
        </w:rPr>
        <w:t xml:space="preserve"> </w:t>
      </w:r>
      <w:r w:rsidRPr="00FA5B2C">
        <w:rPr>
          <w:spacing w:val="-1"/>
        </w:rPr>
        <w:t>record;</w:t>
      </w:r>
      <w:r w:rsidRPr="00FA5B2C">
        <w:rPr>
          <w:spacing w:val="-15"/>
        </w:rPr>
        <w:t xml:space="preserve"> </w:t>
      </w:r>
      <w:r>
        <w:t>is</w:t>
      </w:r>
      <w:r w:rsidRPr="00FA5B2C">
        <w:rPr>
          <w:spacing w:val="-16"/>
        </w:rPr>
        <w:t xml:space="preserve"> </w:t>
      </w:r>
      <w:r>
        <w:t>consistent</w:t>
      </w:r>
      <w:r w:rsidRPr="00FA5B2C">
        <w:rPr>
          <w:spacing w:val="-15"/>
        </w:rPr>
        <w:t xml:space="preserve"> </w:t>
      </w:r>
      <w:r w:rsidRPr="00FA5B2C">
        <w:rPr>
          <w:spacing w:val="-1"/>
        </w:rPr>
        <w:t>with</w:t>
      </w:r>
      <w:r w:rsidRPr="00FA5B2C">
        <w:rPr>
          <w:spacing w:val="-15"/>
        </w:rPr>
        <w:t xml:space="preserve"> </w:t>
      </w:r>
      <w:r>
        <w:t>the</w:t>
      </w:r>
      <w:r w:rsidRPr="00FA5B2C">
        <w:rPr>
          <w:spacing w:val="-16"/>
        </w:rPr>
        <w:t xml:space="preserve"> </w:t>
      </w:r>
      <w:r w:rsidRPr="00FA5B2C">
        <w:rPr>
          <w:spacing w:val="-1"/>
        </w:rPr>
        <w:t>relevant</w:t>
      </w:r>
      <w:r w:rsidRPr="00FA5B2C">
        <w:rPr>
          <w:spacing w:val="-15"/>
        </w:rPr>
        <w:t xml:space="preserve"> </w:t>
      </w:r>
      <w:r w:rsidRPr="00FA5B2C">
        <w:rPr>
          <w:spacing w:val="-1"/>
        </w:rPr>
        <w:t>provisions</w:t>
      </w:r>
      <w:r w:rsidRPr="00FA5B2C">
        <w:rPr>
          <w:spacing w:val="-15"/>
        </w:rPr>
        <w:t xml:space="preserve"> </w:t>
      </w:r>
      <w:r>
        <w:t>of</w:t>
      </w:r>
      <w:r w:rsidRPr="00FA5B2C">
        <w:rPr>
          <w:spacing w:val="-15"/>
        </w:rPr>
        <w:t xml:space="preserve"> </w:t>
      </w:r>
      <w:r w:rsidRPr="00FA5B2C">
        <w:rPr>
          <w:spacing w:val="-1"/>
        </w:rPr>
        <w:t>PURA;</w:t>
      </w:r>
      <w:r w:rsidRPr="00FA5B2C">
        <w:rPr>
          <w:spacing w:val="-14"/>
        </w:rPr>
        <w:t xml:space="preserve"> </w:t>
      </w:r>
      <w:r>
        <w:t>and</w:t>
      </w:r>
      <w:r w:rsidRPr="00FA5B2C">
        <w:rPr>
          <w:spacing w:val="-15"/>
        </w:rPr>
        <w:t xml:space="preserve"> </w:t>
      </w:r>
      <w:r>
        <w:t>is</w:t>
      </w:r>
      <w:r w:rsidRPr="00FA5B2C">
        <w:rPr>
          <w:spacing w:val="-15"/>
        </w:rPr>
        <w:t xml:space="preserve"> </w:t>
      </w:r>
      <w:r>
        <w:t>consistent</w:t>
      </w:r>
      <w:r w:rsidRPr="00FA5B2C">
        <w:rPr>
          <w:spacing w:val="51"/>
        </w:rPr>
        <w:t xml:space="preserve"> </w:t>
      </w:r>
      <w:r>
        <w:t>with the public interest.</w:t>
      </w:r>
    </w:p>
    <w:p w14:paraId="262B9848" w14:textId="77777777" w:rsidR="00363B18" w:rsidRDefault="00363B18" w:rsidP="001C3491">
      <w:pPr>
        <w:pStyle w:val="BodyText"/>
        <w:numPr>
          <w:ilvl w:val="0"/>
          <w:numId w:val="10"/>
        </w:numPr>
        <w:tabs>
          <w:tab w:val="left" w:pos="840"/>
        </w:tabs>
        <w:spacing w:line="360" w:lineRule="auto"/>
        <w:ind w:left="540" w:hanging="540"/>
        <w:jc w:val="both"/>
      </w:pPr>
      <w:r>
        <w:t>ETI’s</w:t>
      </w:r>
      <w:r>
        <w:rPr>
          <w:spacing w:val="4"/>
        </w:rPr>
        <w:t xml:space="preserve"> </w:t>
      </w:r>
      <w:r>
        <w:t>rates</w:t>
      </w:r>
      <w:r>
        <w:rPr>
          <w:spacing w:val="4"/>
        </w:rPr>
        <w:t xml:space="preserve"> </w:t>
      </w:r>
      <w:r>
        <w:rPr>
          <w:spacing w:val="-1"/>
        </w:rPr>
        <w:t>resulting</w:t>
      </w:r>
      <w:r>
        <w:rPr>
          <w:spacing w:val="4"/>
        </w:rPr>
        <w:t xml:space="preserve"> </w:t>
      </w:r>
      <w:r>
        <w:t>from</w:t>
      </w:r>
      <w:r>
        <w:rPr>
          <w:spacing w:val="4"/>
        </w:rPr>
        <w:t xml:space="preserve"> </w:t>
      </w:r>
      <w:r>
        <w:t>the</w:t>
      </w:r>
      <w:r>
        <w:rPr>
          <w:spacing w:val="4"/>
        </w:rPr>
        <w:t xml:space="preserve"> </w:t>
      </w:r>
      <w:r>
        <w:rPr>
          <w:spacing w:val="-1"/>
        </w:rPr>
        <w:t>Stipulation</w:t>
      </w:r>
      <w:r>
        <w:rPr>
          <w:spacing w:val="4"/>
        </w:rPr>
        <w:t xml:space="preserve"> </w:t>
      </w:r>
      <w:r>
        <w:t>and</w:t>
      </w:r>
      <w:r>
        <w:rPr>
          <w:spacing w:val="3"/>
        </w:rPr>
        <w:t xml:space="preserve"> </w:t>
      </w:r>
      <w:r>
        <w:t>this</w:t>
      </w:r>
      <w:r>
        <w:rPr>
          <w:spacing w:val="4"/>
        </w:rPr>
        <w:t xml:space="preserve"> </w:t>
      </w:r>
      <w:r>
        <w:rPr>
          <w:spacing w:val="-1"/>
        </w:rPr>
        <w:t>Order</w:t>
      </w:r>
      <w:r>
        <w:rPr>
          <w:spacing w:val="4"/>
        </w:rPr>
        <w:t xml:space="preserve"> </w:t>
      </w:r>
      <w:r>
        <w:t>are</w:t>
      </w:r>
      <w:r>
        <w:rPr>
          <w:spacing w:val="3"/>
        </w:rPr>
        <w:t xml:space="preserve"> </w:t>
      </w:r>
      <w:r>
        <w:rPr>
          <w:spacing w:val="-1"/>
        </w:rPr>
        <w:t>just</w:t>
      </w:r>
      <w:r>
        <w:rPr>
          <w:spacing w:val="4"/>
        </w:rPr>
        <w:t xml:space="preserve"> </w:t>
      </w:r>
      <w:r>
        <w:t>and</w:t>
      </w:r>
      <w:r>
        <w:rPr>
          <w:spacing w:val="4"/>
        </w:rPr>
        <w:t xml:space="preserve"> </w:t>
      </w:r>
      <w:r>
        <w:t>reasonable</w:t>
      </w:r>
      <w:r>
        <w:rPr>
          <w:spacing w:val="4"/>
        </w:rPr>
        <w:t xml:space="preserve"> </w:t>
      </w:r>
      <w:r>
        <w:t>and</w:t>
      </w:r>
      <w:r>
        <w:rPr>
          <w:spacing w:val="3"/>
        </w:rPr>
        <w:t xml:space="preserve"> </w:t>
      </w:r>
      <w:r>
        <w:rPr>
          <w:spacing w:val="-1"/>
        </w:rPr>
        <w:t>meet</w:t>
      </w:r>
      <w:r>
        <w:rPr>
          <w:spacing w:val="55"/>
        </w:rPr>
        <w:t xml:space="preserve"> </w:t>
      </w:r>
      <w:r>
        <w:t xml:space="preserve">the </w:t>
      </w:r>
      <w:r>
        <w:rPr>
          <w:spacing w:val="-1"/>
        </w:rPr>
        <w:t>requirements</w:t>
      </w:r>
      <w:r>
        <w:t xml:space="preserve"> of PURA § 36.003.</w:t>
      </w:r>
    </w:p>
    <w:p w14:paraId="717DB674" w14:textId="77777777" w:rsidR="00363B18" w:rsidRDefault="00363B18" w:rsidP="001C3491">
      <w:pPr>
        <w:pStyle w:val="BodyText"/>
        <w:numPr>
          <w:ilvl w:val="0"/>
          <w:numId w:val="10"/>
        </w:numPr>
        <w:tabs>
          <w:tab w:val="left" w:pos="840"/>
        </w:tabs>
        <w:spacing w:line="360" w:lineRule="auto"/>
        <w:ind w:left="540" w:hanging="540"/>
        <w:jc w:val="both"/>
      </w:pPr>
      <w:r>
        <w:t>The</w:t>
      </w:r>
      <w:r>
        <w:rPr>
          <w:spacing w:val="29"/>
        </w:rPr>
        <w:t xml:space="preserve"> </w:t>
      </w:r>
      <w:r>
        <w:rPr>
          <w:spacing w:val="-1"/>
        </w:rPr>
        <w:t>revenue</w:t>
      </w:r>
      <w:r>
        <w:rPr>
          <w:spacing w:val="27"/>
        </w:rPr>
        <w:t xml:space="preserve"> </w:t>
      </w:r>
      <w:r>
        <w:rPr>
          <w:spacing w:val="-1"/>
        </w:rPr>
        <w:t>requirement,</w:t>
      </w:r>
      <w:r>
        <w:rPr>
          <w:spacing w:val="29"/>
        </w:rPr>
        <w:t xml:space="preserve"> </w:t>
      </w:r>
      <w:r>
        <w:rPr>
          <w:spacing w:val="-1"/>
        </w:rPr>
        <w:t>cost</w:t>
      </w:r>
      <w:r>
        <w:rPr>
          <w:spacing w:val="29"/>
        </w:rPr>
        <w:t xml:space="preserve"> </w:t>
      </w:r>
      <w:r>
        <w:rPr>
          <w:spacing w:val="-1"/>
        </w:rPr>
        <w:t>allocation,</w:t>
      </w:r>
      <w:r>
        <w:rPr>
          <w:spacing w:val="27"/>
        </w:rPr>
        <w:t xml:space="preserve"> </w:t>
      </w:r>
      <w:r>
        <w:t>and</w:t>
      </w:r>
      <w:r>
        <w:rPr>
          <w:spacing w:val="27"/>
        </w:rPr>
        <w:t xml:space="preserve"> </w:t>
      </w:r>
      <w:r>
        <w:rPr>
          <w:spacing w:val="-1"/>
        </w:rPr>
        <w:t>rate</w:t>
      </w:r>
      <w:r>
        <w:rPr>
          <w:spacing w:val="29"/>
        </w:rPr>
        <w:t xml:space="preserve"> </w:t>
      </w:r>
      <w:r>
        <w:rPr>
          <w:spacing w:val="-1"/>
        </w:rPr>
        <w:t>design</w:t>
      </w:r>
      <w:r>
        <w:rPr>
          <w:spacing w:val="27"/>
        </w:rPr>
        <w:t xml:space="preserve"> </w:t>
      </w:r>
      <w:r>
        <w:rPr>
          <w:spacing w:val="-1"/>
        </w:rPr>
        <w:t>implementing</w:t>
      </w:r>
      <w:r>
        <w:rPr>
          <w:spacing w:val="29"/>
        </w:rPr>
        <w:t xml:space="preserve"> </w:t>
      </w:r>
      <w:r>
        <w:t>the</w:t>
      </w:r>
      <w:r>
        <w:rPr>
          <w:spacing w:val="27"/>
        </w:rPr>
        <w:t xml:space="preserve"> </w:t>
      </w:r>
      <w:r>
        <w:rPr>
          <w:spacing w:val="-1"/>
        </w:rPr>
        <w:t>Stipulation</w:t>
      </w:r>
      <w:r>
        <w:rPr>
          <w:spacing w:val="93"/>
        </w:rPr>
        <w:t xml:space="preserve"> </w:t>
      </w:r>
      <w:r>
        <w:t>result</w:t>
      </w:r>
      <w:r>
        <w:rPr>
          <w:spacing w:val="42"/>
        </w:rPr>
        <w:t xml:space="preserve"> </w:t>
      </w:r>
      <w:r>
        <w:t>in</w:t>
      </w:r>
      <w:r>
        <w:rPr>
          <w:spacing w:val="42"/>
        </w:rPr>
        <w:t xml:space="preserve"> </w:t>
      </w:r>
      <w:r>
        <w:t>rates</w:t>
      </w:r>
      <w:r>
        <w:rPr>
          <w:spacing w:val="42"/>
        </w:rPr>
        <w:t xml:space="preserve"> </w:t>
      </w:r>
      <w:r>
        <w:t>that</w:t>
      </w:r>
      <w:r>
        <w:rPr>
          <w:spacing w:val="42"/>
        </w:rPr>
        <w:t xml:space="preserve"> </w:t>
      </w:r>
      <w:r>
        <w:rPr>
          <w:spacing w:val="-1"/>
        </w:rPr>
        <w:t>are</w:t>
      </w:r>
      <w:r>
        <w:rPr>
          <w:spacing w:val="42"/>
        </w:rPr>
        <w:t xml:space="preserve"> </w:t>
      </w:r>
      <w:r>
        <w:rPr>
          <w:spacing w:val="-1"/>
        </w:rPr>
        <w:t>just</w:t>
      </w:r>
      <w:r>
        <w:rPr>
          <w:spacing w:val="42"/>
        </w:rPr>
        <w:t xml:space="preserve"> </w:t>
      </w:r>
      <w:r>
        <w:t>and</w:t>
      </w:r>
      <w:r>
        <w:rPr>
          <w:spacing w:val="42"/>
        </w:rPr>
        <w:t xml:space="preserve"> </w:t>
      </w:r>
      <w:r>
        <w:t>reasonable,</w:t>
      </w:r>
      <w:r>
        <w:rPr>
          <w:spacing w:val="42"/>
        </w:rPr>
        <w:t xml:space="preserve"> </w:t>
      </w:r>
      <w:r>
        <w:t>comply</w:t>
      </w:r>
      <w:r>
        <w:rPr>
          <w:spacing w:val="42"/>
        </w:rPr>
        <w:t xml:space="preserve"> </w:t>
      </w:r>
      <w:r>
        <w:t>with</w:t>
      </w:r>
      <w:r>
        <w:rPr>
          <w:spacing w:val="42"/>
        </w:rPr>
        <w:t xml:space="preserve"> </w:t>
      </w:r>
      <w:r>
        <w:t>the</w:t>
      </w:r>
      <w:r>
        <w:rPr>
          <w:spacing w:val="42"/>
        </w:rPr>
        <w:t xml:space="preserve"> </w:t>
      </w:r>
      <w:r>
        <w:rPr>
          <w:spacing w:val="-1"/>
        </w:rPr>
        <w:t>ratemaking</w:t>
      </w:r>
      <w:r>
        <w:rPr>
          <w:spacing w:val="42"/>
        </w:rPr>
        <w:t xml:space="preserve"> </w:t>
      </w:r>
      <w:r>
        <w:t>provisions</w:t>
      </w:r>
      <w:r>
        <w:rPr>
          <w:spacing w:val="42"/>
        </w:rPr>
        <w:t xml:space="preserve"> </w:t>
      </w:r>
      <w:r>
        <w:t>in</w:t>
      </w:r>
      <w:r>
        <w:rPr>
          <w:spacing w:val="23"/>
        </w:rPr>
        <w:t xml:space="preserve"> </w:t>
      </w:r>
      <w:r>
        <w:t xml:space="preserve">PURA, and are not unreasonably </w:t>
      </w:r>
      <w:r>
        <w:rPr>
          <w:spacing w:val="-1"/>
        </w:rPr>
        <w:t>discriminatory,</w:t>
      </w:r>
      <w:r>
        <w:t xml:space="preserve"> preferential, or</w:t>
      </w:r>
      <w:r>
        <w:rPr>
          <w:spacing w:val="-1"/>
        </w:rPr>
        <w:t xml:space="preserve"> prejudicial.</w:t>
      </w:r>
    </w:p>
    <w:p w14:paraId="7ECD7819" w14:textId="77777777" w:rsidR="00363B18" w:rsidRDefault="00363B18" w:rsidP="001C3491">
      <w:pPr>
        <w:pStyle w:val="BodyText"/>
        <w:numPr>
          <w:ilvl w:val="0"/>
          <w:numId w:val="10"/>
        </w:numPr>
        <w:tabs>
          <w:tab w:val="left" w:pos="840"/>
        </w:tabs>
        <w:spacing w:line="359" w:lineRule="auto"/>
        <w:ind w:left="540" w:hanging="540"/>
        <w:jc w:val="both"/>
      </w:pPr>
      <w:r>
        <w:t>Except</w:t>
      </w:r>
      <w:r>
        <w:rPr>
          <w:spacing w:val="13"/>
        </w:rPr>
        <w:t xml:space="preserve"> </w:t>
      </w:r>
      <w:r>
        <w:t>as</w:t>
      </w:r>
      <w:r>
        <w:rPr>
          <w:spacing w:val="13"/>
        </w:rPr>
        <w:t xml:space="preserve"> </w:t>
      </w:r>
      <w:r>
        <w:rPr>
          <w:spacing w:val="-1"/>
        </w:rPr>
        <w:t>otherwise</w:t>
      </w:r>
      <w:r>
        <w:rPr>
          <w:spacing w:val="13"/>
        </w:rPr>
        <w:t xml:space="preserve"> </w:t>
      </w:r>
      <w:r>
        <w:rPr>
          <w:spacing w:val="-1"/>
        </w:rPr>
        <w:t>provided</w:t>
      </w:r>
      <w:r>
        <w:rPr>
          <w:spacing w:val="13"/>
        </w:rPr>
        <w:t xml:space="preserve"> </w:t>
      </w:r>
      <w:r>
        <w:t>in</w:t>
      </w:r>
      <w:r>
        <w:rPr>
          <w:spacing w:val="12"/>
        </w:rPr>
        <w:t xml:space="preserve"> </w:t>
      </w:r>
      <w:r>
        <w:rPr>
          <w:spacing w:val="-1"/>
        </w:rPr>
        <w:t>the</w:t>
      </w:r>
      <w:r>
        <w:rPr>
          <w:spacing w:val="12"/>
        </w:rPr>
        <w:t xml:space="preserve"> </w:t>
      </w:r>
      <w:r>
        <w:rPr>
          <w:spacing w:val="-1"/>
        </w:rPr>
        <w:t>Stipulation</w:t>
      </w:r>
      <w:r>
        <w:rPr>
          <w:spacing w:val="10"/>
        </w:rPr>
        <w:t xml:space="preserve"> </w:t>
      </w:r>
      <w:r>
        <w:t>and</w:t>
      </w:r>
      <w:r>
        <w:rPr>
          <w:spacing w:val="13"/>
        </w:rPr>
        <w:t xml:space="preserve"> </w:t>
      </w:r>
      <w:r>
        <w:t>this</w:t>
      </w:r>
      <w:r>
        <w:rPr>
          <w:spacing w:val="12"/>
        </w:rPr>
        <w:t xml:space="preserve"> </w:t>
      </w:r>
      <w:r>
        <w:rPr>
          <w:spacing w:val="-1"/>
        </w:rPr>
        <w:t>Order,</w:t>
      </w:r>
      <w:r>
        <w:rPr>
          <w:spacing w:val="12"/>
        </w:rPr>
        <w:t xml:space="preserve"> </w:t>
      </w:r>
      <w:r>
        <w:t>based</w:t>
      </w:r>
      <w:r>
        <w:rPr>
          <w:spacing w:val="12"/>
        </w:rPr>
        <w:t xml:space="preserve"> </w:t>
      </w:r>
      <w:r>
        <w:t>on</w:t>
      </w:r>
      <w:r>
        <w:rPr>
          <w:spacing w:val="12"/>
        </w:rPr>
        <w:t xml:space="preserve"> </w:t>
      </w:r>
      <w:r>
        <w:t>the</w:t>
      </w:r>
      <w:r>
        <w:rPr>
          <w:spacing w:val="13"/>
        </w:rPr>
        <w:t xml:space="preserve"> </w:t>
      </w:r>
      <w:r>
        <w:rPr>
          <w:spacing w:val="-1"/>
        </w:rPr>
        <w:t>evidence</w:t>
      </w:r>
      <w:r>
        <w:rPr>
          <w:spacing w:val="13"/>
        </w:rPr>
        <w:t xml:space="preserve"> </w:t>
      </w:r>
      <w:r>
        <w:t>in</w:t>
      </w:r>
      <w:r>
        <w:rPr>
          <w:spacing w:val="63"/>
        </w:rPr>
        <w:t xml:space="preserve"> </w:t>
      </w:r>
      <w:r>
        <w:rPr>
          <w:spacing w:val="-1"/>
        </w:rPr>
        <w:t>this</w:t>
      </w:r>
      <w:r>
        <w:rPr>
          <w:spacing w:val="26"/>
        </w:rPr>
        <w:t xml:space="preserve"> </w:t>
      </w:r>
      <w:r>
        <w:rPr>
          <w:spacing w:val="-1"/>
        </w:rPr>
        <w:t>docket,</w:t>
      </w:r>
      <w:r>
        <w:rPr>
          <w:spacing w:val="25"/>
        </w:rPr>
        <w:t xml:space="preserve"> </w:t>
      </w:r>
      <w:r>
        <w:rPr>
          <w:spacing w:val="-1"/>
        </w:rPr>
        <w:t>the</w:t>
      </w:r>
      <w:r>
        <w:rPr>
          <w:spacing w:val="26"/>
        </w:rPr>
        <w:t xml:space="preserve"> </w:t>
      </w:r>
      <w:r>
        <w:rPr>
          <w:spacing w:val="-1"/>
        </w:rPr>
        <w:t>overall</w:t>
      </w:r>
      <w:r>
        <w:rPr>
          <w:spacing w:val="25"/>
        </w:rPr>
        <w:t xml:space="preserve"> </w:t>
      </w:r>
      <w:r>
        <w:rPr>
          <w:spacing w:val="-1"/>
        </w:rPr>
        <w:t>total</w:t>
      </w:r>
      <w:r>
        <w:rPr>
          <w:spacing w:val="25"/>
        </w:rPr>
        <w:t xml:space="preserve"> </w:t>
      </w:r>
      <w:r>
        <w:rPr>
          <w:spacing w:val="-1"/>
        </w:rPr>
        <w:t>invested</w:t>
      </w:r>
      <w:r>
        <w:rPr>
          <w:spacing w:val="26"/>
        </w:rPr>
        <w:t xml:space="preserve"> </w:t>
      </w:r>
      <w:r>
        <w:rPr>
          <w:spacing w:val="-1"/>
        </w:rPr>
        <w:t>capital</w:t>
      </w:r>
      <w:r>
        <w:rPr>
          <w:spacing w:val="26"/>
        </w:rPr>
        <w:t xml:space="preserve"> </w:t>
      </w:r>
      <w:r>
        <w:rPr>
          <w:spacing w:val="-1"/>
        </w:rPr>
        <w:t>through</w:t>
      </w:r>
      <w:r>
        <w:rPr>
          <w:spacing w:val="26"/>
        </w:rPr>
        <w:t xml:space="preserve"> </w:t>
      </w:r>
      <w:r>
        <w:rPr>
          <w:spacing w:val="-1"/>
        </w:rPr>
        <w:t>the</w:t>
      </w:r>
      <w:r>
        <w:rPr>
          <w:spacing w:val="25"/>
        </w:rPr>
        <w:t xml:space="preserve"> </w:t>
      </w:r>
      <w:r>
        <w:rPr>
          <w:spacing w:val="-1"/>
        </w:rPr>
        <w:t>end</w:t>
      </w:r>
      <w:r>
        <w:rPr>
          <w:spacing w:val="24"/>
        </w:rPr>
        <w:t xml:space="preserve"> </w:t>
      </w:r>
      <w:r>
        <w:t>of</w:t>
      </w:r>
      <w:r>
        <w:rPr>
          <w:spacing w:val="26"/>
        </w:rPr>
        <w:t xml:space="preserve"> </w:t>
      </w:r>
      <w:r>
        <w:t>the</w:t>
      </w:r>
      <w:r>
        <w:rPr>
          <w:spacing w:val="25"/>
        </w:rPr>
        <w:t xml:space="preserve"> </w:t>
      </w:r>
      <w:r>
        <w:t>test</w:t>
      </w:r>
      <w:r>
        <w:rPr>
          <w:spacing w:val="26"/>
        </w:rPr>
        <w:t xml:space="preserve"> </w:t>
      </w:r>
      <w:r>
        <w:t>year</w:t>
      </w:r>
      <w:r>
        <w:rPr>
          <w:spacing w:val="26"/>
        </w:rPr>
        <w:t xml:space="preserve"> </w:t>
      </w:r>
      <w:r>
        <w:rPr>
          <w:spacing w:val="-1"/>
        </w:rPr>
        <w:t>meets</w:t>
      </w:r>
      <w:r>
        <w:rPr>
          <w:spacing w:val="26"/>
        </w:rPr>
        <w:t xml:space="preserve"> </w:t>
      </w:r>
      <w:r>
        <w:t>the</w:t>
      </w:r>
      <w:r>
        <w:rPr>
          <w:spacing w:val="33"/>
        </w:rPr>
        <w:t xml:space="preserve"> </w:t>
      </w:r>
      <w:r>
        <w:rPr>
          <w:spacing w:val="-1"/>
        </w:rPr>
        <w:t>requirement</w:t>
      </w:r>
      <w:r>
        <w:rPr>
          <w:spacing w:val="12"/>
        </w:rPr>
        <w:t xml:space="preserve"> </w:t>
      </w:r>
      <w:r>
        <w:t>in</w:t>
      </w:r>
      <w:r>
        <w:rPr>
          <w:spacing w:val="12"/>
        </w:rPr>
        <w:t xml:space="preserve"> </w:t>
      </w:r>
      <w:r>
        <w:t>PURA</w:t>
      </w:r>
      <w:r>
        <w:rPr>
          <w:spacing w:val="12"/>
        </w:rPr>
        <w:t xml:space="preserve"> </w:t>
      </w:r>
      <w:r>
        <w:t>§</w:t>
      </w:r>
      <w:r>
        <w:rPr>
          <w:spacing w:val="13"/>
        </w:rPr>
        <w:t xml:space="preserve"> </w:t>
      </w:r>
      <w:r>
        <w:t>36.053(a)</w:t>
      </w:r>
      <w:r>
        <w:rPr>
          <w:spacing w:val="12"/>
        </w:rPr>
        <w:t xml:space="preserve"> </w:t>
      </w:r>
      <w:r>
        <w:rPr>
          <w:spacing w:val="-1"/>
        </w:rPr>
        <w:t>that</w:t>
      </w:r>
      <w:r>
        <w:rPr>
          <w:spacing w:val="12"/>
        </w:rPr>
        <w:t xml:space="preserve"> </w:t>
      </w:r>
      <w:r>
        <w:t>electric</w:t>
      </w:r>
      <w:r>
        <w:rPr>
          <w:spacing w:val="12"/>
        </w:rPr>
        <w:t xml:space="preserve"> </w:t>
      </w:r>
      <w:r>
        <w:t>utility</w:t>
      </w:r>
      <w:r>
        <w:rPr>
          <w:spacing w:val="12"/>
        </w:rPr>
        <w:t xml:space="preserve"> </w:t>
      </w:r>
      <w:r>
        <w:t>rates</w:t>
      </w:r>
      <w:r>
        <w:rPr>
          <w:spacing w:val="10"/>
        </w:rPr>
        <w:t xml:space="preserve"> </w:t>
      </w:r>
      <w:r>
        <w:t>be</w:t>
      </w:r>
      <w:r>
        <w:rPr>
          <w:spacing w:val="11"/>
        </w:rPr>
        <w:t xml:space="preserve"> </w:t>
      </w:r>
      <w:r>
        <w:t>based</w:t>
      </w:r>
      <w:r>
        <w:rPr>
          <w:spacing w:val="12"/>
        </w:rPr>
        <w:t xml:space="preserve"> </w:t>
      </w:r>
      <w:r>
        <w:t>on</w:t>
      </w:r>
      <w:r>
        <w:rPr>
          <w:spacing w:val="12"/>
        </w:rPr>
        <w:t xml:space="preserve"> </w:t>
      </w:r>
      <w:r>
        <w:t>the</w:t>
      </w:r>
      <w:r>
        <w:rPr>
          <w:spacing w:val="12"/>
        </w:rPr>
        <w:t xml:space="preserve"> </w:t>
      </w:r>
      <w:r>
        <w:t>original</w:t>
      </w:r>
      <w:r>
        <w:rPr>
          <w:spacing w:val="12"/>
        </w:rPr>
        <w:t xml:space="preserve"> </w:t>
      </w:r>
      <w:r>
        <w:t>cost,</w:t>
      </w:r>
      <w:r>
        <w:rPr>
          <w:spacing w:val="25"/>
        </w:rPr>
        <w:t xml:space="preserve"> </w:t>
      </w:r>
      <w:r>
        <w:t xml:space="preserve">less depreciation of property </w:t>
      </w:r>
      <w:r>
        <w:rPr>
          <w:spacing w:val="-1"/>
        </w:rPr>
        <w:t>used</w:t>
      </w:r>
      <w:r>
        <w:t xml:space="preserve"> by and useful to the utility</w:t>
      </w:r>
      <w:r>
        <w:rPr>
          <w:spacing w:val="-1"/>
        </w:rPr>
        <w:t xml:space="preserve"> in providing service.</w:t>
      </w:r>
    </w:p>
    <w:p w14:paraId="2B854FF1" w14:textId="77777777" w:rsidR="00363B18" w:rsidRDefault="00363B18" w:rsidP="001C3491">
      <w:pPr>
        <w:pStyle w:val="BodyText"/>
        <w:numPr>
          <w:ilvl w:val="0"/>
          <w:numId w:val="10"/>
        </w:numPr>
        <w:tabs>
          <w:tab w:val="left" w:pos="840"/>
        </w:tabs>
        <w:spacing w:line="360" w:lineRule="auto"/>
        <w:ind w:left="540" w:hanging="540"/>
        <w:jc w:val="both"/>
      </w:pPr>
      <w:r>
        <w:t>ETI</w:t>
      </w:r>
      <w:r>
        <w:rPr>
          <w:spacing w:val="-6"/>
        </w:rPr>
        <w:t xml:space="preserve"> </w:t>
      </w:r>
      <w:r>
        <w:t>has</w:t>
      </w:r>
      <w:r>
        <w:rPr>
          <w:spacing w:val="-6"/>
        </w:rPr>
        <w:t xml:space="preserve"> </w:t>
      </w:r>
      <w:r>
        <w:rPr>
          <w:spacing w:val="-1"/>
        </w:rPr>
        <w:t>met</w:t>
      </w:r>
      <w:r>
        <w:rPr>
          <w:spacing w:val="-5"/>
        </w:rPr>
        <w:t xml:space="preserve"> </w:t>
      </w:r>
      <w:r>
        <w:t>its</w:t>
      </w:r>
      <w:r>
        <w:rPr>
          <w:spacing w:val="-6"/>
        </w:rPr>
        <w:t xml:space="preserve"> </w:t>
      </w:r>
      <w:r>
        <w:t>burden</w:t>
      </w:r>
      <w:r>
        <w:rPr>
          <w:spacing w:val="-6"/>
        </w:rPr>
        <w:t xml:space="preserve"> </w:t>
      </w:r>
      <w:r>
        <w:t>of</w:t>
      </w:r>
      <w:r>
        <w:rPr>
          <w:spacing w:val="-6"/>
        </w:rPr>
        <w:t xml:space="preserve"> </w:t>
      </w:r>
      <w:r>
        <w:t>proof</w:t>
      </w:r>
      <w:r>
        <w:rPr>
          <w:spacing w:val="-6"/>
        </w:rPr>
        <w:t xml:space="preserve"> </w:t>
      </w:r>
      <w:r>
        <w:t>in</w:t>
      </w:r>
      <w:r>
        <w:rPr>
          <w:spacing w:val="-6"/>
        </w:rPr>
        <w:t xml:space="preserve"> </w:t>
      </w:r>
      <w:r>
        <w:t>demonstrating</w:t>
      </w:r>
      <w:r>
        <w:rPr>
          <w:spacing w:val="-6"/>
        </w:rPr>
        <w:t xml:space="preserve"> </w:t>
      </w:r>
      <w:r>
        <w:t>that</w:t>
      </w:r>
      <w:r>
        <w:rPr>
          <w:spacing w:val="-6"/>
        </w:rPr>
        <w:t xml:space="preserve"> </w:t>
      </w:r>
      <w:r>
        <w:rPr>
          <w:spacing w:val="-1"/>
        </w:rPr>
        <w:t>it</w:t>
      </w:r>
      <w:r>
        <w:rPr>
          <w:spacing w:val="-6"/>
        </w:rPr>
        <w:t xml:space="preserve"> </w:t>
      </w:r>
      <w:r>
        <w:t>is</w:t>
      </w:r>
      <w:r>
        <w:rPr>
          <w:spacing w:val="-6"/>
        </w:rPr>
        <w:t xml:space="preserve"> </w:t>
      </w:r>
      <w:r>
        <w:t>entitled</w:t>
      </w:r>
      <w:r>
        <w:rPr>
          <w:spacing w:val="-6"/>
        </w:rPr>
        <w:t xml:space="preserve"> </w:t>
      </w:r>
      <w:r>
        <w:t>to</w:t>
      </w:r>
      <w:r>
        <w:rPr>
          <w:spacing w:val="-7"/>
        </w:rPr>
        <w:t xml:space="preserve"> </w:t>
      </w:r>
      <w:r>
        <w:t>the</w:t>
      </w:r>
      <w:r>
        <w:rPr>
          <w:spacing w:val="-6"/>
        </w:rPr>
        <w:t xml:space="preserve"> </w:t>
      </w:r>
      <w:r>
        <w:rPr>
          <w:spacing w:val="-1"/>
        </w:rPr>
        <w:t>level</w:t>
      </w:r>
      <w:r>
        <w:rPr>
          <w:spacing w:val="-6"/>
        </w:rPr>
        <w:t xml:space="preserve"> </w:t>
      </w:r>
      <w:r>
        <w:t>of</w:t>
      </w:r>
      <w:r>
        <w:rPr>
          <w:spacing w:val="-7"/>
        </w:rPr>
        <w:t xml:space="preserve"> </w:t>
      </w:r>
      <w:r>
        <w:t>retail</w:t>
      </w:r>
      <w:r>
        <w:rPr>
          <w:spacing w:val="-7"/>
        </w:rPr>
        <w:t xml:space="preserve"> </w:t>
      </w:r>
      <w:r>
        <w:t>base</w:t>
      </w:r>
      <w:r>
        <w:rPr>
          <w:spacing w:val="26"/>
        </w:rPr>
        <w:t xml:space="preserve"> </w:t>
      </w:r>
      <w:r>
        <w:t>rate and rider revenue set</w:t>
      </w:r>
      <w:r>
        <w:rPr>
          <w:spacing w:val="-2"/>
        </w:rPr>
        <w:t xml:space="preserve"> </w:t>
      </w:r>
      <w:r>
        <w:rPr>
          <w:spacing w:val="-1"/>
        </w:rPr>
        <w:t>out in the Stipulation.</w:t>
      </w:r>
    </w:p>
    <w:p w14:paraId="3458A9F1" w14:textId="77777777" w:rsidR="00363B18" w:rsidRDefault="00363B18" w:rsidP="001C3491">
      <w:pPr>
        <w:pStyle w:val="BodyText"/>
        <w:numPr>
          <w:ilvl w:val="0"/>
          <w:numId w:val="10"/>
        </w:numPr>
        <w:tabs>
          <w:tab w:val="left" w:pos="840"/>
        </w:tabs>
        <w:spacing w:line="360" w:lineRule="auto"/>
        <w:ind w:left="540" w:hanging="540"/>
        <w:jc w:val="both"/>
      </w:pPr>
      <w:r>
        <w:t>ETI</w:t>
      </w:r>
      <w:r>
        <w:rPr>
          <w:spacing w:val="-12"/>
        </w:rPr>
        <w:t xml:space="preserve"> </w:t>
      </w:r>
      <w:r>
        <w:t>has</w:t>
      </w:r>
      <w:r>
        <w:rPr>
          <w:spacing w:val="-12"/>
        </w:rPr>
        <w:t xml:space="preserve"> </w:t>
      </w:r>
      <w:r>
        <w:rPr>
          <w:spacing w:val="-1"/>
        </w:rPr>
        <w:t>met</w:t>
      </w:r>
      <w:r>
        <w:rPr>
          <w:spacing w:val="-11"/>
        </w:rPr>
        <w:t xml:space="preserve"> </w:t>
      </w:r>
      <w:r>
        <w:t>its</w:t>
      </w:r>
      <w:r>
        <w:rPr>
          <w:spacing w:val="-12"/>
        </w:rPr>
        <w:t xml:space="preserve"> </w:t>
      </w:r>
      <w:r>
        <w:t>burden</w:t>
      </w:r>
      <w:r>
        <w:rPr>
          <w:spacing w:val="-12"/>
        </w:rPr>
        <w:t xml:space="preserve"> </w:t>
      </w:r>
      <w:r>
        <w:t>of</w:t>
      </w:r>
      <w:r>
        <w:rPr>
          <w:spacing w:val="-12"/>
        </w:rPr>
        <w:t xml:space="preserve"> </w:t>
      </w:r>
      <w:r>
        <w:t>proof</w:t>
      </w:r>
      <w:r>
        <w:rPr>
          <w:spacing w:val="-12"/>
        </w:rPr>
        <w:t xml:space="preserve"> </w:t>
      </w:r>
      <w:r>
        <w:t>in</w:t>
      </w:r>
      <w:r>
        <w:rPr>
          <w:spacing w:val="-12"/>
        </w:rPr>
        <w:t xml:space="preserve"> </w:t>
      </w:r>
      <w:r>
        <w:t>demonstrating</w:t>
      </w:r>
      <w:r>
        <w:rPr>
          <w:spacing w:val="-12"/>
        </w:rPr>
        <w:t xml:space="preserve"> </w:t>
      </w:r>
      <w:r>
        <w:t>that</w:t>
      </w:r>
      <w:r>
        <w:rPr>
          <w:spacing w:val="-12"/>
        </w:rPr>
        <w:t xml:space="preserve"> </w:t>
      </w:r>
      <w:r>
        <w:t>the</w:t>
      </w:r>
      <w:r>
        <w:rPr>
          <w:spacing w:val="-12"/>
        </w:rPr>
        <w:t xml:space="preserve"> </w:t>
      </w:r>
      <w:r>
        <w:t>rates</w:t>
      </w:r>
      <w:r>
        <w:rPr>
          <w:spacing w:val="-14"/>
        </w:rPr>
        <w:t xml:space="preserve"> </w:t>
      </w:r>
      <w:r>
        <w:t>and</w:t>
      </w:r>
      <w:r>
        <w:rPr>
          <w:spacing w:val="-12"/>
        </w:rPr>
        <w:t xml:space="preserve"> </w:t>
      </w:r>
      <w:r>
        <w:rPr>
          <w:spacing w:val="-1"/>
        </w:rPr>
        <w:t>baseline</w:t>
      </w:r>
      <w:r>
        <w:rPr>
          <w:spacing w:val="-12"/>
        </w:rPr>
        <w:t xml:space="preserve"> </w:t>
      </w:r>
      <w:r>
        <w:t>values</w:t>
      </w:r>
      <w:r>
        <w:rPr>
          <w:spacing w:val="-12"/>
        </w:rPr>
        <w:t xml:space="preserve"> </w:t>
      </w:r>
      <w:r>
        <w:rPr>
          <w:spacing w:val="-1"/>
        </w:rPr>
        <w:t>resulting</w:t>
      </w:r>
      <w:r>
        <w:rPr>
          <w:spacing w:val="27"/>
        </w:rPr>
        <w:t xml:space="preserve"> </w:t>
      </w:r>
      <w:r>
        <w:t>from</w:t>
      </w:r>
      <w:r>
        <w:rPr>
          <w:spacing w:val="-2"/>
        </w:rPr>
        <w:t xml:space="preserve"> </w:t>
      </w:r>
      <w:r>
        <w:t xml:space="preserve">the Stipulation are just </w:t>
      </w:r>
      <w:r>
        <w:rPr>
          <w:spacing w:val="-1"/>
        </w:rPr>
        <w:t>and</w:t>
      </w:r>
      <w:r>
        <w:t xml:space="preserve"> reasonable, and consistent </w:t>
      </w:r>
      <w:r>
        <w:rPr>
          <w:spacing w:val="-1"/>
        </w:rPr>
        <w:t>with PURA.</w:t>
      </w:r>
    </w:p>
    <w:p w14:paraId="487C50C7" w14:textId="77777777" w:rsidR="00363B18" w:rsidRPr="00724B1F" w:rsidRDefault="00363B18" w:rsidP="00D33753">
      <w:pPr>
        <w:pStyle w:val="BodyText"/>
        <w:numPr>
          <w:ilvl w:val="0"/>
          <w:numId w:val="10"/>
        </w:numPr>
        <w:tabs>
          <w:tab w:val="left" w:pos="840"/>
        </w:tabs>
        <w:spacing w:before="0" w:line="360" w:lineRule="auto"/>
        <w:ind w:left="547" w:hanging="547"/>
        <w:jc w:val="both"/>
      </w:pPr>
      <w:r w:rsidRPr="00724B1F">
        <w:t>ETI</w:t>
      </w:r>
      <w:r w:rsidRPr="00724B1F">
        <w:rPr>
          <w:spacing w:val="9"/>
        </w:rPr>
        <w:t xml:space="preserve"> </w:t>
      </w:r>
      <w:r w:rsidRPr="00724B1F">
        <w:t>has</w:t>
      </w:r>
      <w:r w:rsidRPr="00724B1F">
        <w:rPr>
          <w:spacing w:val="10"/>
        </w:rPr>
        <w:t xml:space="preserve"> </w:t>
      </w:r>
      <w:r w:rsidRPr="00724B1F">
        <w:rPr>
          <w:spacing w:val="-1"/>
        </w:rPr>
        <w:t>met</w:t>
      </w:r>
      <w:r w:rsidRPr="00724B1F">
        <w:rPr>
          <w:spacing w:val="9"/>
        </w:rPr>
        <w:t xml:space="preserve"> </w:t>
      </w:r>
      <w:r w:rsidRPr="00724B1F">
        <w:t>its</w:t>
      </w:r>
      <w:r w:rsidRPr="00724B1F">
        <w:rPr>
          <w:spacing w:val="9"/>
        </w:rPr>
        <w:t xml:space="preserve"> </w:t>
      </w:r>
      <w:r w:rsidRPr="00724B1F">
        <w:t>burden</w:t>
      </w:r>
      <w:r w:rsidRPr="00724B1F">
        <w:rPr>
          <w:spacing w:val="9"/>
        </w:rPr>
        <w:t xml:space="preserve"> </w:t>
      </w:r>
      <w:r w:rsidRPr="00724B1F">
        <w:t>of</w:t>
      </w:r>
      <w:r w:rsidRPr="00724B1F">
        <w:rPr>
          <w:spacing w:val="9"/>
        </w:rPr>
        <w:t xml:space="preserve"> </w:t>
      </w:r>
      <w:r w:rsidRPr="00724B1F">
        <w:rPr>
          <w:spacing w:val="-1"/>
        </w:rPr>
        <w:t>proof,</w:t>
      </w:r>
      <w:r w:rsidRPr="00724B1F">
        <w:rPr>
          <w:spacing w:val="9"/>
        </w:rPr>
        <w:t xml:space="preserve"> </w:t>
      </w:r>
      <w:r w:rsidRPr="00724B1F">
        <w:t>as</w:t>
      </w:r>
      <w:r w:rsidRPr="00724B1F">
        <w:rPr>
          <w:spacing w:val="9"/>
        </w:rPr>
        <w:t xml:space="preserve"> </w:t>
      </w:r>
      <w:r w:rsidRPr="00724B1F">
        <w:t>required</w:t>
      </w:r>
      <w:r w:rsidRPr="00724B1F">
        <w:rPr>
          <w:spacing w:val="9"/>
        </w:rPr>
        <w:t xml:space="preserve"> </w:t>
      </w:r>
      <w:r w:rsidRPr="00724B1F">
        <w:t>by</w:t>
      </w:r>
      <w:r w:rsidRPr="00724B1F">
        <w:rPr>
          <w:spacing w:val="8"/>
        </w:rPr>
        <w:t xml:space="preserve"> </w:t>
      </w:r>
      <w:r w:rsidRPr="00724B1F">
        <w:t>PURA</w:t>
      </w:r>
      <w:r w:rsidRPr="00724B1F">
        <w:rPr>
          <w:spacing w:val="9"/>
        </w:rPr>
        <w:t xml:space="preserve"> </w:t>
      </w:r>
      <w:r w:rsidRPr="00724B1F">
        <w:t>§</w:t>
      </w:r>
      <w:r w:rsidRPr="00724B1F">
        <w:rPr>
          <w:spacing w:val="9"/>
        </w:rPr>
        <w:t xml:space="preserve"> </w:t>
      </w:r>
      <w:r w:rsidRPr="00724B1F">
        <w:rPr>
          <w:spacing w:val="-1"/>
        </w:rPr>
        <w:t>39.452(j),</w:t>
      </w:r>
      <w:r w:rsidRPr="00724B1F">
        <w:rPr>
          <w:spacing w:val="9"/>
        </w:rPr>
        <w:t xml:space="preserve"> </w:t>
      </w:r>
      <w:r w:rsidRPr="00724B1F">
        <w:t>in</w:t>
      </w:r>
      <w:r w:rsidRPr="00724B1F">
        <w:rPr>
          <w:spacing w:val="9"/>
        </w:rPr>
        <w:t xml:space="preserve"> </w:t>
      </w:r>
      <w:r w:rsidRPr="00724B1F">
        <w:rPr>
          <w:spacing w:val="-1"/>
        </w:rPr>
        <w:t>demonstrating</w:t>
      </w:r>
      <w:r w:rsidRPr="00724B1F">
        <w:rPr>
          <w:spacing w:val="9"/>
        </w:rPr>
        <w:t xml:space="preserve"> </w:t>
      </w:r>
      <w:r w:rsidRPr="00724B1F">
        <w:rPr>
          <w:spacing w:val="-1"/>
        </w:rPr>
        <w:t>that</w:t>
      </w:r>
      <w:r w:rsidRPr="00724B1F">
        <w:rPr>
          <w:spacing w:val="32"/>
        </w:rPr>
        <w:t xml:space="preserve"> </w:t>
      </w:r>
      <w:r w:rsidRPr="00724B1F">
        <w:rPr>
          <w:spacing w:val="-1"/>
        </w:rPr>
        <w:t xml:space="preserve">the purchased power contracts making up </w:t>
      </w:r>
      <w:r w:rsidRPr="00724B1F">
        <w:t>its</w:t>
      </w:r>
      <w:r w:rsidRPr="00724B1F">
        <w:rPr>
          <w:spacing w:val="-1"/>
        </w:rPr>
        <w:t xml:space="preserve"> purchased power costs</w:t>
      </w:r>
      <w:r w:rsidRPr="00724B1F">
        <w:rPr>
          <w:spacing w:val="-2"/>
        </w:rPr>
        <w:t xml:space="preserve"> </w:t>
      </w:r>
      <w:r w:rsidRPr="00724B1F">
        <w:t>to</w:t>
      </w:r>
      <w:r w:rsidRPr="00724B1F">
        <w:rPr>
          <w:spacing w:val="-2"/>
        </w:rPr>
        <w:t xml:space="preserve"> </w:t>
      </w:r>
      <w:r w:rsidRPr="00724B1F">
        <w:rPr>
          <w:spacing w:val="-1"/>
        </w:rPr>
        <w:t>be</w:t>
      </w:r>
      <w:r w:rsidRPr="00724B1F">
        <w:rPr>
          <w:spacing w:val="-3"/>
        </w:rPr>
        <w:t xml:space="preserve"> </w:t>
      </w:r>
      <w:r w:rsidRPr="00724B1F">
        <w:rPr>
          <w:spacing w:val="-1"/>
        </w:rPr>
        <w:t>included</w:t>
      </w:r>
      <w:r w:rsidRPr="00724B1F">
        <w:rPr>
          <w:spacing w:val="-2"/>
        </w:rPr>
        <w:t xml:space="preserve"> </w:t>
      </w:r>
      <w:r w:rsidRPr="00724B1F">
        <w:t>in</w:t>
      </w:r>
      <w:r w:rsidRPr="00724B1F">
        <w:rPr>
          <w:spacing w:val="-1"/>
        </w:rPr>
        <w:t xml:space="preserve"> base</w:t>
      </w:r>
      <w:r w:rsidRPr="00724B1F">
        <w:rPr>
          <w:spacing w:val="34"/>
        </w:rPr>
        <w:t xml:space="preserve"> </w:t>
      </w:r>
      <w:r w:rsidRPr="00724B1F">
        <w:rPr>
          <w:spacing w:val="-1"/>
        </w:rPr>
        <w:t>rates</w:t>
      </w:r>
      <w:r w:rsidRPr="00724B1F">
        <w:rPr>
          <w:spacing w:val="-15"/>
        </w:rPr>
        <w:t xml:space="preserve"> </w:t>
      </w:r>
      <w:r w:rsidRPr="00724B1F">
        <w:rPr>
          <w:spacing w:val="-1"/>
        </w:rPr>
        <w:t>meet</w:t>
      </w:r>
      <w:r w:rsidRPr="00724B1F">
        <w:rPr>
          <w:spacing w:val="-15"/>
        </w:rPr>
        <w:t xml:space="preserve"> </w:t>
      </w:r>
      <w:r w:rsidRPr="00724B1F">
        <w:rPr>
          <w:spacing w:val="-1"/>
        </w:rPr>
        <w:t>the</w:t>
      </w:r>
      <w:r w:rsidRPr="00724B1F">
        <w:rPr>
          <w:spacing w:val="-15"/>
        </w:rPr>
        <w:t xml:space="preserve"> </w:t>
      </w:r>
      <w:r w:rsidRPr="00724B1F">
        <w:rPr>
          <w:spacing w:val="-1"/>
        </w:rPr>
        <w:t>provisions</w:t>
      </w:r>
      <w:r w:rsidRPr="00724B1F">
        <w:rPr>
          <w:spacing w:val="-16"/>
        </w:rPr>
        <w:t xml:space="preserve"> </w:t>
      </w:r>
      <w:r w:rsidRPr="00724B1F">
        <w:rPr>
          <w:spacing w:val="-1"/>
        </w:rPr>
        <w:t>of</w:t>
      </w:r>
      <w:r w:rsidRPr="00724B1F">
        <w:rPr>
          <w:spacing w:val="-15"/>
        </w:rPr>
        <w:t xml:space="preserve"> </w:t>
      </w:r>
      <w:r w:rsidRPr="00724B1F">
        <w:rPr>
          <w:spacing w:val="-1"/>
        </w:rPr>
        <w:t>PURA</w:t>
      </w:r>
      <w:r w:rsidRPr="00724B1F">
        <w:rPr>
          <w:spacing w:val="-15"/>
        </w:rPr>
        <w:t xml:space="preserve"> </w:t>
      </w:r>
      <w:r w:rsidRPr="00724B1F">
        <w:t>§</w:t>
      </w:r>
      <w:r w:rsidRPr="00724B1F">
        <w:rPr>
          <w:spacing w:val="-15"/>
        </w:rPr>
        <w:t xml:space="preserve"> </w:t>
      </w:r>
      <w:r w:rsidRPr="00724B1F">
        <w:rPr>
          <w:spacing w:val="-1"/>
        </w:rPr>
        <w:t>37.056(c)(4)(D)</w:t>
      </w:r>
      <w:r w:rsidRPr="00724B1F">
        <w:rPr>
          <w:spacing w:val="-15"/>
        </w:rPr>
        <w:t xml:space="preserve"> </w:t>
      </w:r>
      <w:r w:rsidRPr="00724B1F">
        <w:rPr>
          <w:spacing w:val="-1"/>
        </w:rPr>
        <w:t>and</w:t>
      </w:r>
      <w:r w:rsidRPr="00724B1F">
        <w:rPr>
          <w:spacing w:val="-15"/>
        </w:rPr>
        <w:t xml:space="preserve"> </w:t>
      </w:r>
      <w:r w:rsidRPr="00724B1F">
        <w:rPr>
          <w:spacing w:val="-1"/>
        </w:rPr>
        <w:t>(E)</w:t>
      </w:r>
      <w:r w:rsidRPr="00724B1F">
        <w:rPr>
          <w:spacing w:val="-16"/>
        </w:rPr>
        <w:t xml:space="preserve"> </w:t>
      </w:r>
      <w:r w:rsidRPr="00724B1F">
        <w:rPr>
          <w:spacing w:val="-1"/>
        </w:rPr>
        <w:t>and</w:t>
      </w:r>
      <w:r w:rsidRPr="00724B1F">
        <w:rPr>
          <w:spacing w:val="-14"/>
        </w:rPr>
        <w:t xml:space="preserve"> </w:t>
      </w:r>
      <w:r w:rsidRPr="00724B1F">
        <w:t>that</w:t>
      </w:r>
      <w:r w:rsidRPr="00724B1F">
        <w:rPr>
          <w:spacing w:val="-16"/>
        </w:rPr>
        <w:t xml:space="preserve"> </w:t>
      </w:r>
      <w:r w:rsidRPr="00724B1F">
        <w:t>such</w:t>
      </w:r>
      <w:r w:rsidRPr="00724B1F">
        <w:rPr>
          <w:spacing w:val="-16"/>
        </w:rPr>
        <w:t xml:space="preserve"> </w:t>
      </w:r>
      <w:r w:rsidRPr="00724B1F">
        <w:t>contracts</w:t>
      </w:r>
      <w:r w:rsidRPr="00724B1F">
        <w:rPr>
          <w:spacing w:val="-15"/>
        </w:rPr>
        <w:t xml:space="preserve"> </w:t>
      </w:r>
      <w:r w:rsidRPr="00724B1F">
        <w:t>satisfy</w:t>
      </w:r>
      <w:r w:rsidRPr="00724B1F">
        <w:rPr>
          <w:spacing w:val="27"/>
        </w:rPr>
        <w:t xml:space="preserve"> </w:t>
      </w:r>
      <w:r w:rsidRPr="00724B1F">
        <w:t>reliability needs identified by ETI.</w:t>
      </w:r>
    </w:p>
    <w:p w14:paraId="6433AE0B" w14:textId="259748A8" w:rsidR="00363B18" w:rsidRDefault="00363B18" w:rsidP="00D33753">
      <w:pPr>
        <w:pStyle w:val="BodyText"/>
        <w:numPr>
          <w:ilvl w:val="0"/>
          <w:numId w:val="10"/>
        </w:numPr>
        <w:tabs>
          <w:tab w:val="left" w:pos="840"/>
        </w:tabs>
        <w:spacing w:before="0" w:line="360" w:lineRule="auto"/>
        <w:ind w:left="547" w:hanging="547"/>
        <w:jc w:val="both"/>
      </w:pPr>
      <w:r>
        <w:t>The</w:t>
      </w:r>
      <w:r>
        <w:rPr>
          <w:spacing w:val="-11"/>
        </w:rPr>
        <w:t xml:space="preserve"> </w:t>
      </w:r>
      <w:r>
        <w:rPr>
          <w:spacing w:val="-1"/>
        </w:rPr>
        <w:t>affiliate</w:t>
      </w:r>
      <w:r>
        <w:rPr>
          <w:spacing w:val="-12"/>
        </w:rPr>
        <w:t xml:space="preserve"> </w:t>
      </w:r>
      <w:r>
        <w:t>expenses</w:t>
      </w:r>
      <w:r>
        <w:rPr>
          <w:spacing w:val="-11"/>
        </w:rPr>
        <w:t xml:space="preserve"> </w:t>
      </w:r>
      <w:r>
        <w:rPr>
          <w:spacing w:val="-1"/>
        </w:rPr>
        <w:t>included</w:t>
      </w:r>
      <w:r>
        <w:rPr>
          <w:spacing w:val="-11"/>
        </w:rPr>
        <w:t xml:space="preserve"> </w:t>
      </w:r>
      <w:r>
        <w:t>in</w:t>
      </w:r>
      <w:r>
        <w:rPr>
          <w:spacing w:val="-11"/>
        </w:rPr>
        <w:t xml:space="preserve"> </w:t>
      </w:r>
      <w:r>
        <w:rPr>
          <w:spacing w:val="-1"/>
        </w:rPr>
        <w:t>ETI’s</w:t>
      </w:r>
      <w:r>
        <w:rPr>
          <w:spacing w:val="-11"/>
        </w:rPr>
        <w:t xml:space="preserve"> </w:t>
      </w:r>
      <w:r>
        <w:t>rates</w:t>
      </w:r>
      <w:r>
        <w:rPr>
          <w:spacing w:val="-11"/>
        </w:rPr>
        <w:t xml:space="preserve"> </w:t>
      </w:r>
      <w:r>
        <w:rPr>
          <w:spacing w:val="-1"/>
        </w:rPr>
        <w:t>satisfies</w:t>
      </w:r>
      <w:r>
        <w:rPr>
          <w:spacing w:val="-11"/>
        </w:rPr>
        <w:t xml:space="preserve"> </w:t>
      </w:r>
      <w:r>
        <w:t>the</w:t>
      </w:r>
      <w:r>
        <w:rPr>
          <w:spacing w:val="-11"/>
        </w:rPr>
        <w:t xml:space="preserve"> </w:t>
      </w:r>
      <w:r>
        <w:rPr>
          <w:spacing w:val="-1"/>
        </w:rPr>
        <w:t>requirements</w:t>
      </w:r>
      <w:r>
        <w:rPr>
          <w:spacing w:val="-11"/>
        </w:rPr>
        <w:t xml:space="preserve"> </w:t>
      </w:r>
      <w:r>
        <w:t>of</w:t>
      </w:r>
      <w:r>
        <w:rPr>
          <w:spacing w:val="-10"/>
        </w:rPr>
        <w:t xml:space="preserve"> </w:t>
      </w:r>
      <w:r>
        <w:t>PURA</w:t>
      </w:r>
      <w:r>
        <w:rPr>
          <w:spacing w:val="-11"/>
        </w:rPr>
        <w:t xml:space="preserve"> </w:t>
      </w:r>
      <w:r w:rsidR="00A85CCD">
        <w:t>§</w:t>
      </w:r>
      <w:r w:rsidR="00A85CCD">
        <w:rPr>
          <w:spacing w:val="-11"/>
        </w:rPr>
        <w:t> </w:t>
      </w:r>
      <w:r>
        <w:t>36.058.</w:t>
      </w:r>
    </w:p>
    <w:p w14:paraId="72259224" w14:textId="56837B04" w:rsidR="00363B18" w:rsidRDefault="00363B18" w:rsidP="00D33753">
      <w:pPr>
        <w:pStyle w:val="BodyText"/>
        <w:numPr>
          <w:ilvl w:val="0"/>
          <w:numId w:val="10"/>
        </w:numPr>
        <w:tabs>
          <w:tab w:val="left" w:pos="840"/>
        </w:tabs>
        <w:spacing w:before="0" w:line="360" w:lineRule="auto"/>
        <w:ind w:left="547" w:hanging="547"/>
        <w:jc w:val="both"/>
      </w:pPr>
      <w:r>
        <w:t>ETI’s</w:t>
      </w:r>
      <w:r w:rsidRPr="00284927">
        <w:rPr>
          <w:spacing w:val="27"/>
        </w:rPr>
        <w:t xml:space="preserve"> </w:t>
      </w:r>
      <w:r>
        <w:t>self-insurance</w:t>
      </w:r>
      <w:r w:rsidRPr="00284927">
        <w:rPr>
          <w:spacing w:val="26"/>
        </w:rPr>
        <w:t xml:space="preserve"> </w:t>
      </w:r>
      <w:r>
        <w:t>reserve</w:t>
      </w:r>
      <w:r w:rsidRPr="00284927">
        <w:rPr>
          <w:spacing w:val="27"/>
        </w:rPr>
        <w:t xml:space="preserve"> </w:t>
      </w:r>
      <w:r>
        <w:t>satisfies</w:t>
      </w:r>
      <w:r w:rsidRPr="00284927">
        <w:rPr>
          <w:spacing w:val="27"/>
        </w:rPr>
        <w:t xml:space="preserve"> </w:t>
      </w:r>
      <w:r>
        <w:t>the</w:t>
      </w:r>
      <w:r w:rsidRPr="00284927">
        <w:rPr>
          <w:spacing w:val="26"/>
        </w:rPr>
        <w:t xml:space="preserve"> </w:t>
      </w:r>
      <w:r w:rsidRPr="00284927">
        <w:rPr>
          <w:spacing w:val="-1"/>
        </w:rPr>
        <w:t>requirements</w:t>
      </w:r>
      <w:r w:rsidRPr="00284927">
        <w:rPr>
          <w:spacing w:val="27"/>
        </w:rPr>
        <w:t xml:space="preserve"> </w:t>
      </w:r>
      <w:r>
        <w:t>of</w:t>
      </w:r>
      <w:r w:rsidRPr="00284927">
        <w:rPr>
          <w:spacing w:val="27"/>
        </w:rPr>
        <w:t xml:space="preserve"> </w:t>
      </w:r>
      <w:r>
        <w:t>PURA</w:t>
      </w:r>
      <w:r w:rsidRPr="00284927">
        <w:rPr>
          <w:spacing w:val="25"/>
        </w:rPr>
        <w:t xml:space="preserve"> </w:t>
      </w:r>
      <w:r>
        <w:t>§</w:t>
      </w:r>
      <w:r w:rsidRPr="00284927">
        <w:rPr>
          <w:spacing w:val="27"/>
        </w:rPr>
        <w:t xml:space="preserve"> </w:t>
      </w:r>
      <w:r>
        <w:t>36.064</w:t>
      </w:r>
      <w:r w:rsidRPr="00284927">
        <w:rPr>
          <w:spacing w:val="27"/>
        </w:rPr>
        <w:t xml:space="preserve"> </w:t>
      </w:r>
      <w:r>
        <w:t>and</w:t>
      </w:r>
      <w:r w:rsidRPr="00284927">
        <w:rPr>
          <w:spacing w:val="27"/>
        </w:rPr>
        <w:t xml:space="preserve"> </w:t>
      </w:r>
      <w:r>
        <w:t>16</w:t>
      </w:r>
      <w:r w:rsidRPr="00284927">
        <w:rPr>
          <w:spacing w:val="26"/>
        </w:rPr>
        <w:t xml:space="preserve"> </w:t>
      </w:r>
      <w:r>
        <w:t>TAC</w:t>
      </w:r>
      <w:r w:rsidR="00284927">
        <w:t xml:space="preserve"> </w:t>
      </w:r>
      <w:r>
        <w:t>§ 25.231(b)(1)(G).</w:t>
      </w:r>
    </w:p>
    <w:p w14:paraId="0D1336C0" w14:textId="51482EE2" w:rsidR="00A85CCD" w:rsidRDefault="00A85CCD" w:rsidP="00D33753">
      <w:pPr>
        <w:pStyle w:val="BodyText"/>
        <w:numPr>
          <w:ilvl w:val="0"/>
          <w:numId w:val="10"/>
        </w:numPr>
        <w:tabs>
          <w:tab w:val="left" w:pos="840"/>
        </w:tabs>
        <w:spacing w:before="0" w:line="360" w:lineRule="auto"/>
        <w:ind w:left="547" w:hanging="547"/>
        <w:jc w:val="both"/>
      </w:pPr>
      <w:r>
        <w:t>The Commission approves ETI’s AMS reconciliation in accordance with 16 TAC § 25.130(k)(6).</w:t>
      </w:r>
    </w:p>
    <w:p w14:paraId="26646B16" w14:textId="30299FD1" w:rsidR="00363B18" w:rsidRDefault="00363B18" w:rsidP="00D33753">
      <w:pPr>
        <w:pStyle w:val="BodyText"/>
        <w:numPr>
          <w:ilvl w:val="0"/>
          <w:numId w:val="10"/>
        </w:numPr>
        <w:tabs>
          <w:tab w:val="left" w:pos="840"/>
        </w:tabs>
        <w:spacing w:before="0" w:line="360" w:lineRule="auto"/>
        <w:ind w:left="547" w:hanging="547"/>
        <w:jc w:val="both"/>
      </w:pPr>
      <w:r>
        <w:rPr>
          <w:spacing w:val="-1"/>
        </w:rPr>
        <w:t xml:space="preserve">Pursuant to PURA </w:t>
      </w:r>
      <w:r>
        <w:t>§</w:t>
      </w:r>
      <w:r>
        <w:rPr>
          <w:spacing w:val="-1"/>
        </w:rPr>
        <w:t xml:space="preserve"> 36.211, and as </w:t>
      </w:r>
      <w:r>
        <w:t>reflected in the Stipulation,</w:t>
      </w:r>
      <w:r>
        <w:rPr>
          <w:spacing w:val="-1"/>
        </w:rPr>
        <w:t xml:space="preserve"> the rates established in</w:t>
      </w:r>
      <w:r>
        <w:rPr>
          <w:spacing w:val="29"/>
        </w:rPr>
        <w:t xml:space="preserve"> </w:t>
      </w:r>
      <w:r>
        <w:t xml:space="preserve">this </w:t>
      </w:r>
      <w:r>
        <w:rPr>
          <w:spacing w:val="-1"/>
        </w:rPr>
        <w:lastRenderedPageBreak/>
        <w:t>proceeding</w:t>
      </w:r>
      <w:r>
        <w:t xml:space="preserve"> are</w:t>
      </w:r>
      <w:r>
        <w:rPr>
          <w:spacing w:val="-2"/>
        </w:rPr>
        <w:t xml:space="preserve"> </w:t>
      </w:r>
      <w:r>
        <w:t xml:space="preserve">effective for </w:t>
      </w:r>
      <w:r>
        <w:rPr>
          <w:spacing w:val="-1"/>
        </w:rPr>
        <w:t>consumption</w:t>
      </w:r>
      <w:r>
        <w:t xml:space="preserve"> on and after </w:t>
      </w:r>
      <w:r w:rsidR="00EE16F4">
        <w:rPr>
          <w:spacing w:val="-1"/>
        </w:rPr>
        <w:t>December 3, 2022</w:t>
      </w:r>
      <w:r>
        <w:rPr>
          <w:spacing w:val="-1"/>
        </w:rPr>
        <w:t>.</w:t>
      </w:r>
    </w:p>
    <w:p w14:paraId="756CF624" w14:textId="77777777" w:rsidR="00363B18" w:rsidRDefault="00363B18" w:rsidP="001C3491">
      <w:pPr>
        <w:pStyle w:val="BodyText"/>
        <w:numPr>
          <w:ilvl w:val="0"/>
          <w:numId w:val="10"/>
        </w:numPr>
        <w:tabs>
          <w:tab w:val="left" w:pos="840"/>
        </w:tabs>
        <w:spacing w:line="360" w:lineRule="auto"/>
        <w:ind w:left="540" w:hanging="540"/>
        <w:jc w:val="both"/>
      </w:pPr>
      <w:r>
        <w:rPr>
          <w:spacing w:val="-1"/>
        </w:rPr>
        <w:t>This</w:t>
      </w:r>
      <w:r>
        <w:rPr>
          <w:spacing w:val="13"/>
        </w:rPr>
        <w:t xml:space="preserve"> </w:t>
      </w:r>
      <w:r>
        <w:rPr>
          <w:spacing w:val="-1"/>
        </w:rPr>
        <w:t>application</w:t>
      </w:r>
      <w:r>
        <w:rPr>
          <w:spacing w:val="13"/>
        </w:rPr>
        <w:t xml:space="preserve"> </w:t>
      </w:r>
      <w:r>
        <w:rPr>
          <w:spacing w:val="-1"/>
        </w:rPr>
        <w:t>may</w:t>
      </w:r>
      <w:r>
        <w:rPr>
          <w:spacing w:val="13"/>
        </w:rPr>
        <w:t xml:space="preserve"> </w:t>
      </w:r>
      <w:r>
        <w:rPr>
          <w:spacing w:val="-1"/>
        </w:rPr>
        <w:t>be</w:t>
      </w:r>
      <w:r>
        <w:rPr>
          <w:spacing w:val="13"/>
        </w:rPr>
        <w:t xml:space="preserve"> </w:t>
      </w:r>
      <w:r>
        <w:rPr>
          <w:spacing w:val="-1"/>
        </w:rPr>
        <w:t>approved</w:t>
      </w:r>
      <w:r>
        <w:rPr>
          <w:spacing w:val="13"/>
        </w:rPr>
        <w:t xml:space="preserve"> </w:t>
      </w:r>
      <w:r>
        <w:rPr>
          <w:spacing w:val="-1"/>
        </w:rPr>
        <w:t>without</w:t>
      </w:r>
      <w:r>
        <w:rPr>
          <w:spacing w:val="13"/>
        </w:rPr>
        <w:t xml:space="preserve"> </w:t>
      </w:r>
      <w:r>
        <w:t>a</w:t>
      </w:r>
      <w:r>
        <w:rPr>
          <w:spacing w:val="13"/>
        </w:rPr>
        <w:t xml:space="preserve"> </w:t>
      </w:r>
      <w:r>
        <w:rPr>
          <w:spacing w:val="-1"/>
        </w:rPr>
        <w:t>hearing</w:t>
      </w:r>
      <w:r>
        <w:rPr>
          <w:spacing w:val="13"/>
        </w:rPr>
        <w:t xml:space="preserve"> </w:t>
      </w:r>
      <w:r>
        <w:rPr>
          <w:spacing w:val="-1"/>
        </w:rPr>
        <w:t>under</w:t>
      </w:r>
      <w:r>
        <w:rPr>
          <w:spacing w:val="13"/>
        </w:rPr>
        <w:t xml:space="preserve"> </w:t>
      </w:r>
      <w:r>
        <w:rPr>
          <w:spacing w:val="-1"/>
        </w:rPr>
        <w:t>the</w:t>
      </w:r>
      <w:r>
        <w:rPr>
          <w:spacing w:val="13"/>
        </w:rPr>
        <w:t xml:space="preserve"> </w:t>
      </w:r>
      <w:r>
        <w:rPr>
          <w:spacing w:val="-1"/>
        </w:rPr>
        <w:t>Administrative</w:t>
      </w:r>
      <w:r>
        <w:rPr>
          <w:spacing w:val="13"/>
        </w:rPr>
        <w:t xml:space="preserve"> </w:t>
      </w:r>
      <w:r>
        <w:rPr>
          <w:spacing w:val="-1"/>
        </w:rPr>
        <w:t>Procedure</w:t>
      </w:r>
      <w:r>
        <w:rPr>
          <w:spacing w:val="26"/>
        </w:rPr>
        <w:t xml:space="preserve"> </w:t>
      </w:r>
      <w:r>
        <w:rPr>
          <w:spacing w:val="-1"/>
        </w:rPr>
        <w:t>Act and Commission rules.</w:t>
      </w:r>
    </w:p>
    <w:p w14:paraId="702BCA65" w14:textId="77777777" w:rsidR="00363B18" w:rsidRDefault="00363B18" w:rsidP="0086611A">
      <w:pPr>
        <w:jc w:val="both"/>
        <w:rPr>
          <w:rFonts w:eastAsia="Times New Roman"/>
        </w:rPr>
      </w:pPr>
    </w:p>
    <w:p w14:paraId="5B0086B1" w14:textId="77777777" w:rsidR="00363B18" w:rsidRDefault="00363B18" w:rsidP="0086611A">
      <w:pPr>
        <w:pStyle w:val="Heading1"/>
        <w:ind w:left="0"/>
        <w:rPr>
          <w:rFonts w:hint="eastAsia"/>
          <w:b w:val="0"/>
          <w:bCs/>
        </w:rPr>
      </w:pPr>
      <w:r>
        <w:t xml:space="preserve">Ordering </w:t>
      </w:r>
      <w:r w:rsidRPr="004153DC">
        <w:t>Paragraphs</w:t>
      </w:r>
    </w:p>
    <w:p w14:paraId="3E3C13D6" w14:textId="23293202" w:rsidR="00363B18" w:rsidRDefault="00363B18" w:rsidP="0086611A">
      <w:pPr>
        <w:pStyle w:val="BodyText"/>
        <w:spacing w:before="117" w:line="360" w:lineRule="auto"/>
        <w:ind w:left="0" w:firstLine="720"/>
        <w:jc w:val="both"/>
      </w:pPr>
      <w:r>
        <w:t>In</w:t>
      </w:r>
      <w:r>
        <w:rPr>
          <w:spacing w:val="-9"/>
        </w:rPr>
        <w:t xml:space="preserve"> </w:t>
      </w:r>
      <w:r>
        <w:rPr>
          <w:spacing w:val="-1"/>
        </w:rPr>
        <w:t>accordance</w:t>
      </w:r>
      <w:r>
        <w:rPr>
          <w:spacing w:val="-9"/>
        </w:rPr>
        <w:t xml:space="preserve"> </w:t>
      </w:r>
      <w:r>
        <w:rPr>
          <w:spacing w:val="-1"/>
        </w:rPr>
        <w:t>with</w:t>
      </w:r>
      <w:r>
        <w:rPr>
          <w:spacing w:val="-9"/>
        </w:rPr>
        <w:t xml:space="preserve"> </w:t>
      </w:r>
      <w:r>
        <w:t>these</w:t>
      </w:r>
      <w:r>
        <w:rPr>
          <w:spacing w:val="-10"/>
        </w:rPr>
        <w:t xml:space="preserve"> </w:t>
      </w:r>
      <w:r>
        <w:rPr>
          <w:spacing w:val="-1"/>
        </w:rPr>
        <w:t>findings</w:t>
      </w:r>
      <w:r>
        <w:rPr>
          <w:spacing w:val="-9"/>
        </w:rPr>
        <w:t xml:space="preserve"> </w:t>
      </w:r>
      <w:r>
        <w:t>of</w:t>
      </w:r>
      <w:r>
        <w:rPr>
          <w:spacing w:val="-9"/>
        </w:rPr>
        <w:t xml:space="preserve"> </w:t>
      </w:r>
      <w:r>
        <w:t>fact</w:t>
      </w:r>
      <w:r>
        <w:rPr>
          <w:spacing w:val="-9"/>
        </w:rPr>
        <w:t xml:space="preserve"> </w:t>
      </w:r>
      <w:r>
        <w:t>and</w:t>
      </w:r>
      <w:r>
        <w:rPr>
          <w:spacing w:val="-9"/>
        </w:rPr>
        <w:t xml:space="preserve"> </w:t>
      </w:r>
      <w:r>
        <w:t>conclusion</w:t>
      </w:r>
      <w:r>
        <w:rPr>
          <w:spacing w:val="-9"/>
        </w:rPr>
        <w:t xml:space="preserve"> </w:t>
      </w:r>
      <w:r>
        <w:t>of</w:t>
      </w:r>
      <w:r>
        <w:rPr>
          <w:spacing w:val="-9"/>
        </w:rPr>
        <w:t xml:space="preserve"> </w:t>
      </w:r>
      <w:r>
        <w:rPr>
          <w:spacing w:val="-1"/>
        </w:rPr>
        <w:t>law,</w:t>
      </w:r>
      <w:r>
        <w:rPr>
          <w:spacing w:val="-9"/>
        </w:rPr>
        <w:t xml:space="preserve"> </w:t>
      </w:r>
      <w:r>
        <w:t>the</w:t>
      </w:r>
      <w:r>
        <w:rPr>
          <w:spacing w:val="-9"/>
        </w:rPr>
        <w:t xml:space="preserve"> </w:t>
      </w:r>
      <w:r>
        <w:rPr>
          <w:spacing w:val="-1"/>
        </w:rPr>
        <w:t>Commission</w:t>
      </w:r>
      <w:r>
        <w:rPr>
          <w:spacing w:val="-9"/>
        </w:rPr>
        <w:t xml:space="preserve"> </w:t>
      </w:r>
      <w:r>
        <w:t>issues</w:t>
      </w:r>
      <w:r>
        <w:rPr>
          <w:spacing w:val="-9"/>
        </w:rPr>
        <w:t xml:space="preserve"> </w:t>
      </w:r>
      <w:r>
        <w:t>the</w:t>
      </w:r>
      <w:r>
        <w:rPr>
          <w:spacing w:val="57"/>
        </w:rPr>
        <w:t xml:space="preserve"> </w:t>
      </w:r>
      <w:r w:rsidR="004153DC">
        <w:rPr>
          <w:spacing w:val="-1"/>
        </w:rPr>
        <w:t>following O</w:t>
      </w:r>
      <w:r>
        <w:rPr>
          <w:spacing w:val="-1"/>
        </w:rPr>
        <w:t>rder:</w:t>
      </w:r>
    </w:p>
    <w:p w14:paraId="072FAAD5" w14:textId="77777777" w:rsidR="00363B18" w:rsidRDefault="00363B18" w:rsidP="0086611A">
      <w:pPr>
        <w:jc w:val="both"/>
        <w:rPr>
          <w:rFonts w:eastAsia="Times New Roman"/>
          <w:sz w:val="20"/>
          <w:szCs w:val="20"/>
        </w:rPr>
      </w:pPr>
    </w:p>
    <w:p w14:paraId="474C4622" w14:textId="77777777" w:rsidR="00363B18" w:rsidRDefault="00363B18" w:rsidP="00705A94">
      <w:pPr>
        <w:pStyle w:val="BodyText"/>
        <w:numPr>
          <w:ilvl w:val="0"/>
          <w:numId w:val="9"/>
        </w:numPr>
        <w:tabs>
          <w:tab w:val="left" w:pos="820"/>
        </w:tabs>
        <w:spacing w:before="0" w:line="360" w:lineRule="auto"/>
        <w:ind w:left="547" w:hanging="547"/>
        <w:jc w:val="both"/>
      </w:pPr>
      <w:r>
        <w:t>The</w:t>
      </w:r>
      <w:r>
        <w:rPr>
          <w:spacing w:val="-15"/>
        </w:rPr>
        <w:t xml:space="preserve"> </w:t>
      </w:r>
      <w:r>
        <w:rPr>
          <w:spacing w:val="-1"/>
        </w:rPr>
        <w:t>Commission</w:t>
      </w:r>
      <w:r>
        <w:rPr>
          <w:spacing w:val="-15"/>
        </w:rPr>
        <w:t xml:space="preserve"> </w:t>
      </w:r>
      <w:r>
        <w:t>approves</w:t>
      </w:r>
      <w:r>
        <w:rPr>
          <w:spacing w:val="-15"/>
        </w:rPr>
        <w:t xml:space="preserve"> </w:t>
      </w:r>
      <w:r>
        <w:t>ETI’s</w:t>
      </w:r>
      <w:r>
        <w:rPr>
          <w:spacing w:val="-15"/>
        </w:rPr>
        <w:t xml:space="preserve"> </w:t>
      </w:r>
      <w:r>
        <w:t>application,</w:t>
      </w:r>
      <w:r>
        <w:rPr>
          <w:spacing w:val="-15"/>
        </w:rPr>
        <w:t xml:space="preserve"> </w:t>
      </w:r>
      <w:r>
        <w:t>as</w:t>
      </w:r>
      <w:r>
        <w:rPr>
          <w:spacing w:val="-15"/>
        </w:rPr>
        <w:t xml:space="preserve"> </w:t>
      </w:r>
      <w:r>
        <w:rPr>
          <w:spacing w:val="-1"/>
        </w:rPr>
        <w:t>modified</w:t>
      </w:r>
      <w:r>
        <w:rPr>
          <w:spacing w:val="-15"/>
        </w:rPr>
        <w:t xml:space="preserve"> </w:t>
      </w:r>
      <w:r>
        <w:t>by</w:t>
      </w:r>
      <w:r>
        <w:rPr>
          <w:spacing w:val="-15"/>
        </w:rPr>
        <w:t xml:space="preserve"> </w:t>
      </w:r>
      <w:r>
        <w:t>the</w:t>
      </w:r>
      <w:r>
        <w:rPr>
          <w:spacing w:val="-15"/>
        </w:rPr>
        <w:t xml:space="preserve"> </w:t>
      </w:r>
      <w:r>
        <w:rPr>
          <w:spacing w:val="-1"/>
        </w:rPr>
        <w:t>Stipulation</w:t>
      </w:r>
      <w:r>
        <w:rPr>
          <w:spacing w:val="-15"/>
        </w:rPr>
        <w:t xml:space="preserve"> </w:t>
      </w:r>
      <w:r>
        <w:t>and</w:t>
      </w:r>
      <w:r>
        <w:rPr>
          <w:spacing w:val="-15"/>
        </w:rPr>
        <w:t xml:space="preserve"> </w:t>
      </w:r>
      <w:r>
        <w:t>this</w:t>
      </w:r>
      <w:r>
        <w:rPr>
          <w:spacing w:val="-16"/>
        </w:rPr>
        <w:t xml:space="preserve"> </w:t>
      </w:r>
      <w:r>
        <w:rPr>
          <w:spacing w:val="-1"/>
        </w:rPr>
        <w:t>Order.</w:t>
      </w:r>
    </w:p>
    <w:p w14:paraId="542B5939" w14:textId="77777777" w:rsidR="00363B18" w:rsidRDefault="00363B18" w:rsidP="00705A94">
      <w:pPr>
        <w:pStyle w:val="BodyText"/>
        <w:numPr>
          <w:ilvl w:val="0"/>
          <w:numId w:val="9"/>
        </w:numPr>
        <w:tabs>
          <w:tab w:val="left" w:pos="820"/>
        </w:tabs>
        <w:spacing w:before="0" w:line="360" w:lineRule="auto"/>
        <w:ind w:left="547" w:hanging="547"/>
        <w:jc w:val="both"/>
      </w:pPr>
      <w:r>
        <w:t>Consistent</w:t>
      </w:r>
      <w:r>
        <w:rPr>
          <w:spacing w:val="-4"/>
        </w:rPr>
        <w:t xml:space="preserve"> </w:t>
      </w:r>
      <w:r>
        <w:rPr>
          <w:spacing w:val="-1"/>
        </w:rPr>
        <w:t>with</w:t>
      </w:r>
      <w:r>
        <w:rPr>
          <w:spacing w:val="-3"/>
        </w:rPr>
        <w:t xml:space="preserve"> </w:t>
      </w:r>
      <w:r>
        <w:t>the</w:t>
      </w:r>
      <w:r>
        <w:rPr>
          <w:spacing w:val="-3"/>
        </w:rPr>
        <w:t xml:space="preserve"> </w:t>
      </w:r>
      <w:r>
        <w:rPr>
          <w:spacing w:val="-1"/>
        </w:rPr>
        <w:t>Stipulation</w:t>
      </w:r>
      <w:r>
        <w:rPr>
          <w:spacing w:val="-3"/>
        </w:rPr>
        <w:t xml:space="preserve"> </w:t>
      </w:r>
      <w:r>
        <w:t>and</w:t>
      </w:r>
      <w:r>
        <w:rPr>
          <w:spacing w:val="-3"/>
        </w:rPr>
        <w:t xml:space="preserve"> </w:t>
      </w:r>
      <w:r>
        <w:t>this</w:t>
      </w:r>
      <w:r>
        <w:rPr>
          <w:spacing w:val="-3"/>
        </w:rPr>
        <w:t xml:space="preserve"> </w:t>
      </w:r>
      <w:r>
        <w:rPr>
          <w:spacing w:val="-1"/>
        </w:rPr>
        <w:t>Order,</w:t>
      </w:r>
      <w:r>
        <w:rPr>
          <w:spacing w:val="-4"/>
        </w:rPr>
        <w:t xml:space="preserve"> </w:t>
      </w:r>
      <w:r>
        <w:t>the</w:t>
      </w:r>
      <w:r>
        <w:rPr>
          <w:spacing w:val="-3"/>
        </w:rPr>
        <w:t xml:space="preserve"> </w:t>
      </w:r>
      <w:r>
        <w:t>rates,</w:t>
      </w:r>
      <w:r>
        <w:rPr>
          <w:spacing w:val="-3"/>
        </w:rPr>
        <w:t xml:space="preserve"> </w:t>
      </w:r>
      <w:r>
        <w:rPr>
          <w:spacing w:val="-1"/>
        </w:rPr>
        <w:t>terms</w:t>
      </w:r>
      <w:r>
        <w:rPr>
          <w:spacing w:val="-3"/>
        </w:rPr>
        <w:t xml:space="preserve"> </w:t>
      </w:r>
      <w:r>
        <w:t>and</w:t>
      </w:r>
      <w:r>
        <w:rPr>
          <w:spacing w:val="-3"/>
        </w:rPr>
        <w:t xml:space="preserve"> </w:t>
      </w:r>
      <w:r>
        <w:t>conditions</w:t>
      </w:r>
      <w:r>
        <w:rPr>
          <w:spacing w:val="-3"/>
        </w:rPr>
        <w:t xml:space="preserve"> </w:t>
      </w:r>
      <w:r>
        <w:t>described</w:t>
      </w:r>
      <w:r>
        <w:rPr>
          <w:spacing w:val="-3"/>
        </w:rPr>
        <w:t xml:space="preserve"> </w:t>
      </w:r>
      <w:r>
        <w:t>in</w:t>
      </w:r>
      <w:r>
        <w:rPr>
          <w:spacing w:val="43"/>
        </w:rPr>
        <w:t xml:space="preserve"> </w:t>
      </w:r>
      <w:r>
        <w:t>this Order are approved.</w:t>
      </w:r>
    </w:p>
    <w:p w14:paraId="1E0AB581" w14:textId="335946AF" w:rsidR="00363B18" w:rsidRPr="00724B1F" w:rsidRDefault="00363B18" w:rsidP="00705A94">
      <w:pPr>
        <w:pStyle w:val="BodyText"/>
        <w:numPr>
          <w:ilvl w:val="0"/>
          <w:numId w:val="9"/>
        </w:numPr>
        <w:tabs>
          <w:tab w:val="left" w:pos="820"/>
        </w:tabs>
        <w:spacing w:before="0" w:line="360" w:lineRule="auto"/>
        <w:ind w:left="547" w:hanging="547"/>
        <w:jc w:val="both"/>
      </w:pPr>
      <w:r w:rsidRPr="00724B1F">
        <w:t xml:space="preserve">The </w:t>
      </w:r>
      <w:r w:rsidRPr="00724B1F">
        <w:rPr>
          <w:spacing w:val="-1"/>
        </w:rPr>
        <w:t>tariffs,</w:t>
      </w:r>
      <w:r w:rsidRPr="00724B1F">
        <w:t xml:space="preserve"> </w:t>
      </w:r>
      <w:r w:rsidRPr="00724B1F">
        <w:rPr>
          <w:spacing w:val="-1"/>
        </w:rPr>
        <w:t>schedules,</w:t>
      </w:r>
      <w:r w:rsidRPr="00724B1F">
        <w:t xml:space="preserve"> </w:t>
      </w:r>
      <w:r w:rsidRPr="00724B1F">
        <w:rPr>
          <w:spacing w:val="-1"/>
        </w:rPr>
        <w:t>and</w:t>
      </w:r>
      <w:r w:rsidRPr="00724B1F">
        <w:t xml:space="preserve"> </w:t>
      </w:r>
      <w:r w:rsidRPr="00724B1F">
        <w:rPr>
          <w:spacing w:val="-1"/>
        </w:rPr>
        <w:t>riders</w:t>
      </w:r>
      <w:r w:rsidRPr="00724B1F">
        <w:t xml:space="preserve"> </w:t>
      </w:r>
      <w:r w:rsidRPr="00724B1F">
        <w:rPr>
          <w:spacing w:val="-1"/>
        </w:rPr>
        <w:t>submitted</w:t>
      </w:r>
      <w:r w:rsidRPr="00724B1F">
        <w:t xml:space="preserve"> with the </w:t>
      </w:r>
      <w:r w:rsidRPr="00724B1F">
        <w:rPr>
          <w:spacing w:val="-1"/>
        </w:rPr>
        <w:t>motion</w:t>
      </w:r>
      <w:r w:rsidRPr="00724B1F">
        <w:t xml:space="preserve"> </w:t>
      </w:r>
      <w:r w:rsidRPr="00724B1F">
        <w:rPr>
          <w:spacing w:val="-1"/>
        </w:rPr>
        <w:t>for</w:t>
      </w:r>
      <w:r w:rsidRPr="00724B1F">
        <w:rPr>
          <w:spacing w:val="1"/>
        </w:rPr>
        <w:t xml:space="preserve"> </w:t>
      </w:r>
      <w:r w:rsidRPr="00724B1F">
        <w:rPr>
          <w:spacing w:val="-1"/>
        </w:rPr>
        <w:t xml:space="preserve">interim </w:t>
      </w:r>
      <w:r w:rsidRPr="00724B1F">
        <w:t>rates</w:t>
      </w:r>
      <w:r w:rsidRPr="00724B1F">
        <w:rPr>
          <w:spacing w:val="1"/>
        </w:rPr>
        <w:t xml:space="preserve"> </w:t>
      </w:r>
      <w:r w:rsidRPr="00724B1F">
        <w:rPr>
          <w:spacing w:val="-1"/>
        </w:rPr>
        <w:t>are</w:t>
      </w:r>
      <w:r w:rsidRPr="00724B1F">
        <w:rPr>
          <w:spacing w:val="1"/>
        </w:rPr>
        <w:t xml:space="preserve"> </w:t>
      </w:r>
      <w:r w:rsidRPr="00724B1F">
        <w:rPr>
          <w:spacing w:val="-1"/>
        </w:rPr>
        <w:t>approved</w:t>
      </w:r>
      <w:r w:rsidRPr="00724B1F">
        <w:rPr>
          <w:spacing w:val="79"/>
        </w:rPr>
        <w:t xml:space="preserve"> </w:t>
      </w:r>
      <w:r w:rsidRPr="00724B1F">
        <w:rPr>
          <w:spacing w:val="-1"/>
        </w:rPr>
        <w:t>as final.</w:t>
      </w:r>
      <w:r w:rsidRPr="00724B1F">
        <w:rPr>
          <w:spacing w:val="59"/>
        </w:rPr>
        <w:t xml:space="preserve"> </w:t>
      </w:r>
      <w:r w:rsidR="00FA0225" w:rsidRPr="00724B1F">
        <w:rPr>
          <w:spacing w:val="59"/>
        </w:rPr>
        <w:t xml:space="preserve"> </w:t>
      </w:r>
      <w:r w:rsidRPr="00724B1F">
        <w:rPr>
          <w:spacing w:val="-1"/>
        </w:rPr>
        <w:t>No refunds or surcharges</w:t>
      </w:r>
      <w:r w:rsidRPr="00724B1F">
        <w:t xml:space="preserve"> of interim</w:t>
      </w:r>
      <w:r w:rsidRPr="00724B1F">
        <w:rPr>
          <w:spacing w:val="-2"/>
        </w:rPr>
        <w:t xml:space="preserve"> </w:t>
      </w:r>
      <w:r w:rsidRPr="00724B1F">
        <w:t xml:space="preserve">rates are </w:t>
      </w:r>
      <w:r w:rsidRPr="00724B1F">
        <w:rPr>
          <w:spacing w:val="-1"/>
        </w:rPr>
        <w:t>necessary.</w:t>
      </w:r>
    </w:p>
    <w:p w14:paraId="02F984F0" w14:textId="724818C0" w:rsidR="0035161C" w:rsidRDefault="00C567BC" w:rsidP="00705A94">
      <w:pPr>
        <w:pStyle w:val="BodyText"/>
        <w:numPr>
          <w:ilvl w:val="0"/>
          <w:numId w:val="9"/>
        </w:numPr>
        <w:tabs>
          <w:tab w:val="left" w:pos="820"/>
        </w:tabs>
        <w:spacing w:before="0" w:line="360" w:lineRule="auto"/>
        <w:ind w:left="547" w:hanging="547"/>
        <w:jc w:val="both"/>
      </w:pPr>
      <w:r>
        <w:t xml:space="preserve">The final rates approved by this Order are effective for consumption on or after </w:t>
      </w:r>
      <w:r w:rsidR="00317BAD">
        <w:t>December 3, 2022.</w:t>
      </w:r>
    </w:p>
    <w:p w14:paraId="56744EEC" w14:textId="1BCA4F86" w:rsidR="006F1E15" w:rsidRDefault="006F1E15" w:rsidP="00705A94">
      <w:pPr>
        <w:pStyle w:val="BodyText"/>
        <w:numPr>
          <w:ilvl w:val="0"/>
          <w:numId w:val="9"/>
        </w:numPr>
        <w:tabs>
          <w:tab w:val="left" w:pos="820"/>
        </w:tabs>
        <w:spacing w:before="0" w:line="360" w:lineRule="auto"/>
        <w:ind w:left="547" w:hanging="547"/>
        <w:jc w:val="both"/>
      </w:pPr>
      <w:r>
        <w:t>[Placeholder for Ordering Paragraphs</w:t>
      </w:r>
      <w:r w:rsidR="007A252C">
        <w:t xml:space="preserve"> related to Preliminary Order Issue Nos. 68 and 69]</w:t>
      </w:r>
    </w:p>
    <w:p w14:paraId="52EA73E9" w14:textId="4B5802E5" w:rsidR="00317BAD" w:rsidRDefault="00D02272" w:rsidP="00705A94">
      <w:pPr>
        <w:pStyle w:val="BodyText"/>
        <w:numPr>
          <w:ilvl w:val="0"/>
          <w:numId w:val="9"/>
        </w:numPr>
        <w:tabs>
          <w:tab w:val="left" w:pos="820"/>
        </w:tabs>
        <w:spacing w:before="0" w:line="360" w:lineRule="auto"/>
        <w:ind w:left="547" w:hanging="547"/>
        <w:jc w:val="both"/>
      </w:pPr>
      <w:r>
        <w:t xml:space="preserve">Within 20 days of the date of this Order, Entergy Texas must file a clean record copy of the tariffs approved in this Order, with the approved effective dates, with Central Records to be marked </w:t>
      </w:r>
      <w:r w:rsidRPr="00456DA4">
        <w:rPr>
          <w:i/>
          <w:iCs/>
        </w:rPr>
        <w:t>Approved</w:t>
      </w:r>
      <w:r>
        <w:t xml:space="preserve"> and filed in the Commission’s tariff books.</w:t>
      </w:r>
    </w:p>
    <w:p w14:paraId="32C91F3F" w14:textId="6393EBF0" w:rsidR="006F6603" w:rsidRDefault="00456DA4" w:rsidP="00705A94">
      <w:pPr>
        <w:pStyle w:val="BodyText"/>
        <w:numPr>
          <w:ilvl w:val="0"/>
          <w:numId w:val="9"/>
        </w:numPr>
        <w:tabs>
          <w:tab w:val="left" w:pos="820"/>
        </w:tabs>
        <w:spacing w:before="0" w:line="360" w:lineRule="auto"/>
        <w:ind w:left="547" w:hanging="547"/>
        <w:jc w:val="both"/>
      </w:pPr>
      <w:r>
        <w:t xml:space="preserve">Within </w:t>
      </w:r>
      <w:r w:rsidR="00292B92">
        <w:t>6</w:t>
      </w:r>
      <w:r>
        <w:t xml:space="preserve">0 days of this Order, </w:t>
      </w:r>
      <w:r w:rsidR="00277569">
        <w:t>Entergy Texas</w:t>
      </w:r>
      <w:r w:rsidR="006E6F0A">
        <w:t xml:space="preserve"> must file </w:t>
      </w:r>
      <w:r w:rsidR="00A14757">
        <w:t>schedule</w:t>
      </w:r>
      <w:r w:rsidR="00864A1F">
        <w:t>s</w:t>
      </w:r>
      <w:r w:rsidR="00A14757">
        <w:t xml:space="preserve"> showing its calculation of </w:t>
      </w:r>
      <w:r w:rsidR="00FA7048">
        <w:t xml:space="preserve">(1) </w:t>
      </w:r>
      <w:r w:rsidR="00A14757">
        <w:t>the relate back of rates to December 3, 2022</w:t>
      </w:r>
      <w:r w:rsidR="009A1F9A">
        <w:t>,</w:t>
      </w:r>
      <w:r w:rsidR="008137BE">
        <w:t xml:space="preserve"> and </w:t>
      </w:r>
      <w:r w:rsidR="00FA7048">
        <w:t xml:space="preserve">(2) </w:t>
      </w:r>
      <w:r w:rsidR="00012FA3">
        <w:t xml:space="preserve">rates designed to collect the </w:t>
      </w:r>
      <w:r w:rsidR="009C3E7F">
        <w:t>rate-case expenses</w:t>
      </w:r>
      <w:r w:rsidR="004B19DB">
        <w:t xml:space="preserve"> approved in this Order (Surcharge Tariffs)</w:t>
      </w:r>
      <w:r w:rsidR="00A14757">
        <w:t xml:space="preserve">.  Entergy Texas must file the </w:t>
      </w:r>
      <w:r w:rsidR="00694F9E">
        <w:t>proposed Surcharge Tariffs</w:t>
      </w:r>
      <w:r w:rsidR="00A14757">
        <w:t xml:space="preserve"> in </w:t>
      </w:r>
      <w:r w:rsidR="0068605D" w:rsidRPr="4F0E07CA">
        <w:rPr>
          <w:i/>
          <w:iCs/>
        </w:rPr>
        <w:t xml:space="preserve">Compliance Docket for Final Order in Docket No. </w:t>
      </w:r>
      <w:r w:rsidR="000F64D8" w:rsidRPr="4F0E07CA">
        <w:rPr>
          <w:i/>
          <w:iCs/>
        </w:rPr>
        <w:t xml:space="preserve">53719 (Application of Entergy Texas, Inc. </w:t>
      </w:r>
      <w:r w:rsidR="001D3E35" w:rsidRPr="4F0E07CA">
        <w:rPr>
          <w:i/>
          <w:iCs/>
        </w:rPr>
        <w:t>for Authority to Change Rates)</w:t>
      </w:r>
      <w:r w:rsidR="001D3E35">
        <w:t xml:space="preserve">, Docket No. _______.  </w:t>
      </w:r>
      <w:r w:rsidR="00FE24C2">
        <w:t>No later than 10 days after the date of the tariff filing, any intervenor in the instant proceeding may file comments</w:t>
      </w:r>
      <w:r w:rsidR="002F5BB0">
        <w:t xml:space="preserve"> on the individual tariff sheets</w:t>
      </w:r>
      <w:r w:rsidR="00A3573B">
        <w:t xml:space="preserve">.  No later than 15 days after the date of the tariff filing, Commission Staff </w:t>
      </w:r>
      <w:r w:rsidR="003553D7">
        <w:t>must</w:t>
      </w:r>
      <w:r w:rsidR="00A3573B">
        <w:t xml:space="preserve"> file its comments recommending approval, modification, or rejection</w:t>
      </w:r>
      <w:r w:rsidR="002F5BB0">
        <w:t xml:space="preserve"> of the individual sheets</w:t>
      </w:r>
      <w:r w:rsidR="00E317F2">
        <w:t xml:space="preserve">.  Responses to Commission Staff’s recommendation </w:t>
      </w:r>
      <w:r w:rsidR="003553D7">
        <w:t>must</w:t>
      </w:r>
      <w:r w:rsidR="00E317F2">
        <w:t xml:space="preserve"> be filed no later than 20 days after the filing of the </w:t>
      </w:r>
      <w:r w:rsidR="00686CE7">
        <w:t>Surcharge Tariffs</w:t>
      </w:r>
      <w:r w:rsidR="00E317F2">
        <w:t xml:space="preserve">.  The Commission </w:t>
      </w:r>
      <w:r w:rsidR="00AF5335">
        <w:t>must</w:t>
      </w:r>
      <w:r w:rsidR="00E317F2">
        <w:t xml:space="preserve"> by letter approve, modify, or r</w:t>
      </w:r>
      <w:r w:rsidR="00E2493D">
        <w:t xml:space="preserve">eject </w:t>
      </w:r>
      <w:r w:rsidR="00A049E4">
        <w:t>each tariff sheet</w:t>
      </w:r>
      <w:r w:rsidR="00E2493D">
        <w:t>, effective the date of the letter.</w:t>
      </w:r>
    </w:p>
    <w:p w14:paraId="0A73DF7D" w14:textId="7B65393E" w:rsidR="00F00869" w:rsidRDefault="00A049E4" w:rsidP="00705A94">
      <w:pPr>
        <w:pStyle w:val="BodyText"/>
        <w:numPr>
          <w:ilvl w:val="0"/>
          <w:numId w:val="9"/>
        </w:numPr>
        <w:tabs>
          <w:tab w:val="left" w:pos="820"/>
        </w:tabs>
        <w:spacing w:before="0" w:line="360" w:lineRule="auto"/>
        <w:ind w:left="547" w:hanging="547"/>
        <w:jc w:val="both"/>
      </w:pPr>
      <w:r>
        <w:t xml:space="preserve">The Surcharge Tariffs </w:t>
      </w:r>
      <w:r w:rsidR="00AF5335">
        <w:t>will</w:t>
      </w:r>
      <w:r w:rsidR="00ED2526">
        <w:t xml:space="preserve"> be deemed approved and </w:t>
      </w:r>
      <w:r w:rsidR="003553D7">
        <w:t>will</w:t>
      </w:r>
      <w:r w:rsidR="00ED2526">
        <w:t xml:space="preserve"> become effective on the </w:t>
      </w:r>
      <w:r w:rsidR="00ED2526">
        <w:lastRenderedPageBreak/>
        <w:t xml:space="preserve">expiration of 30 days from the date of filing, in the absence of written notification </w:t>
      </w:r>
      <w:r w:rsidR="00963FD9">
        <w:t>of</w:t>
      </w:r>
      <w:r w:rsidR="00ED2526">
        <w:t xml:space="preserve"> modification or rejection by the Commission.  If any Surcharge Tariff</w:t>
      </w:r>
      <w:r w:rsidR="00FF629E">
        <w:t>s</w:t>
      </w:r>
      <w:r w:rsidR="00ED2526">
        <w:t xml:space="preserve"> </w:t>
      </w:r>
      <w:r w:rsidR="00FF629E">
        <w:t xml:space="preserve">are modified or rejected, Entergy Texas must file proposed revisions to the individual sheets </w:t>
      </w:r>
      <w:r w:rsidR="003553D7">
        <w:t>in accordance with the Commission’s letter within 10 days of the date of that letter, and the review procedure set out above will apply to the revised sheets.</w:t>
      </w:r>
      <w:r w:rsidR="001D3E35">
        <w:t xml:space="preserve"> </w:t>
      </w:r>
    </w:p>
    <w:p w14:paraId="0A291602" w14:textId="66FAA35C" w:rsidR="00AF5335" w:rsidRPr="00724B1F" w:rsidRDefault="00AF5335" w:rsidP="00705A94">
      <w:pPr>
        <w:pStyle w:val="BodyText"/>
        <w:numPr>
          <w:ilvl w:val="0"/>
          <w:numId w:val="9"/>
        </w:numPr>
        <w:tabs>
          <w:tab w:val="left" w:pos="820"/>
        </w:tabs>
        <w:spacing w:before="0" w:line="360" w:lineRule="auto"/>
        <w:ind w:left="547" w:hanging="547"/>
        <w:jc w:val="both"/>
      </w:pPr>
      <w:r>
        <w:t xml:space="preserve">Copies of </w:t>
      </w:r>
      <w:r w:rsidR="00DA3D41">
        <w:t>all tariff-related filings must be served on all parties of record.</w:t>
      </w:r>
    </w:p>
    <w:p w14:paraId="642444CF" w14:textId="0D013D28" w:rsidR="00DA3D41" w:rsidRPr="00456DA4" w:rsidRDefault="00DA3D41" w:rsidP="00705A94">
      <w:pPr>
        <w:pStyle w:val="BodyText"/>
        <w:numPr>
          <w:ilvl w:val="0"/>
          <w:numId w:val="9"/>
        </w:numPr>
        <w:tabs>
          <w:tab w:val="left" w:pos="820"/>
        </w:tabs>
        <w:spacing w:before="0" w:line="360" w:lineRule="auto"/>
        <w:ind w:left="547" w:hanging="547"/>
        <w:jc w:val="both"/>
      </w:pPr>
      <w:r>
        <w:t xml:space="preserve">The Commission authorizes Entergy Texas to establish a regulatory asset to record </w:t>
      </w:r>
      <w:r w:rsidR="009C3E7F">
        <w:t>rate-case expenses associated with this proceeding that Entergy Texas or Cities incurred after December 31, 2022</w:t>
      </w:r>
      <w:r w:rsidR="006D587A">
        <w:t>,</w:t>
      </w:r>
      <w:r w:rsidR="008364F6">
        <w:t xml:space="preserve"> consistent with this Order</w:t>
      </w:r>
      <w:r w:rsidR="009C3E7F">
        <w:t>.</w:t>
      </w:r>
    </w:p>
    <w:p w14:paraId="1BE1C884" w14:textId="3EBB457F" w:rsidR="00363B18" w:rsidRDefault="00363B18" w:rsidP="00705A94">
      <w:pPr>
        <w:pStyle w:val="BodyText"/>
        <w:numPr>
          <w:ilvl w:val="0"/>
          <w:numId w:val="9"/>
        </w:numPr>
        <w:tabs>
          <w:tab w:val="left" w:pos="820"/>
        </w:tabs>
        <w:spacing w:before="0" w:line="360" w:lineRule="auto"/>
        <w:ind w:left="547" w:hanging="547"/>
        <w:jc w:val="both"/>
      </w:pPr>
      <w:r>
        <w:rPr>
          <w:spacing w:val="-1"/>
        </w:rPr>
        <w:t>ETI’s request for waivers of RFP</w:t>
      </w:r>
      <w:r>
        <w:t xml:space="preserve"> instructions (RFP Schedule V)</w:t>
      </w:r>
      <w:r>
        <w:rPr>
          <w:spacing w:val="-1"/>
        </w:rPr>
        <w:t xml:space="preserve"> </w:t>
      </w:r>
      <w:r>
        <w:t>is granted.</w:t>
      </w:r>
    </w:p>
    <w:p w14:paraId="3FD641B3" w14:textId="1E5284AE" w:rsidR="00363B18" w:rsidRDefault="00363B18" w:rsidP="00705A94">
      <w:pPr>
        <w:pStyle w:val="BodyText"/>
        <w:numPr>
          <w:ilvl w:val="0"/>
          <w:numId w:val="9"/>
        </w:numPr>
        <w:tabs>
          <w:tab w:val="left" w:pos="820"/>
        </w:tabs>
        <w:spacing w:before="0" w:line="360" w:lineRule="auto"/>
        <w:ind w:left="547" w:hanging="547"/>
        <w:jc w:val="both"/>
      </w:pPr>
      <w:r>
        <w:t>Entry</w:t>
      </w:r>
      <w:r>
        <w:rPr>
          <w:spacing w:val="16"/>
        </w:rPr>
        <w:t xml:space="preserve"> </w:t>
      </w:r>
      <w:r>
        <w:t>of</w:t>
      </w:r>
      <w:r>
        <w:rPr>
          <w:spacing w:val="16"/>
        </w:rPr>
        <w:t xml:space="preserve"> </w:t>
      </w:r>
      <w:r>
        <w:t>this</w:t>
      </w:r>
      <w:r>
        <w:rPr>
          <w:spacing w:val="16"/>
        </w:rPr>
        <w:t xml:space="preserve"> </w:t>
      </w:r>
      <w:r>
        <w:t>Order</w:t>
      </w:r>
      <w:r>
        <w:rPr>
          <w:spacing w:val="16"/>
        </w:rPr>
        <w:t xml:space="preserve"> </w:t>
      </w:r>
      <w:r>
        <w:t>does</w:t>
      </w:r>
      <w:r>
        <w:rPr>
          <w:spacing w:val="16"/>
        </w:rPr>
        <w:t xml:space="preserve"> </w:t>
      </w:r>
      <w:r>
        <w:t>not</w:t>
      </w:r>
      <w:r>
        <w:rPr>
          <w:spacing w:val="16"/>
        </w:rPr>
        <w:t xml:space="preserve"> </w:t>
      </w:r>
      <w:r>
        <w:rPr>
          <w:spacing w:val="-1"/>
        </w:rPr>
        <w:t>indicate</w:t>
      </w:r>
      <w:r>
        <w:rPr>
          <w:spacing w:val="16"/>
        </w:rPr>
        <w:t xml:space="preserve"> </w:t>
      </w:r>
      <w:r>
        <w:t>the</w:t>
      </w:r>
      <w:r>
        <w:rPr>
          <w:spacing w:val="16"/>
        </w:rPr>
        <w:t xml:space="preserve"> </w:t>
      </w:r>
      <w:r>
        <w:rPr>
          <w:spacing w:val="-1"/>
        </w:rPr>
        <w:t>Commission’s</w:t>
      </w:r>
      <w:r>
        <w:rPr>
          <w:spacing w:val="16"/>
        </w:rPr>
        <w:t xml:space="preserve"> </w:t>
      </w:r>
      <w:r>
        <w:rPr>
          <w:spacing w:val="-1"/>
        </w:rPr>
        <w:t>endorsement</w:t>
      </w:r>
      <w:r>
        <w:rPr>
          <w:spacing w:val="17"/>
        </w:rPr>
        <w:t xml:space="preserve"> </w:t>
      </w:r>
      <w:r>
        <w:t>of</w:t>
      </w:r>
      <w:r>
        <w:rPr>
          <w:spacing w:val="17"/>
        </w:rPr>
        <w:t xml:space="preserve"> </w:t>
      </w:r>
      <w:r>
        <w:t>approval</w:t>
      </w:r>
      <w:r>
        <w:rPr>
          <w:spacing w:val="17"/>
        </w:rPr>
        <w:t xml:space="preserve"> </w:t>
      </w:r>
      <w:r>
        <w:t>of</w:t>
      </w:r>
      <w:r>
        <w:rPr>
          <w:spacing w:val="17"/>
        </w:rPr>
        <w:t xml:space="preserve"> </w:t>
      </w:r>
      <w:r>
        <w:t>any</w:t>
      </w:r>
      <w:r>
        <w:rPr>
          <w:spacing w:val="53"/>
        </w:rPr>
        <w:t xml:space="preserve"> </w:t>
      </w:r>
      <w:r>
        <w:t>principle</w:t>
      </w:r>
      <w:r>
        <w:rPr>
          <w:spacing w:val="8"/>
        </w:rPr>
        <w:t xml:space="preserve"> </w:t>
      </w:r>
      <w:r>
        <w:t>or</w:t>
      </w:r>
      <w:r>
        <w:rPr>
          <w:spacing w:val="7"/>
        </w:rPr>
        <w:t xml:space="preserve"> </w:t>
      </w:r>
      <w:r>
        <w:rPr>
          <w:spacing w:val="-1"/>
        </w:rPr>
        <w:t>methodology</w:t>
      </w:r>
      <w:r>
        <w:rPr>
          <w:spacing w:val="8"/>
        </w:rPr>
        <w:t xml:space="preserve"> </w:t>
      </w:r>
      <w:r>
        <w:t>that</w:t>
      </w:r>
      <w:r>
        <w:rPr>
          <w:spacing w:val="8"/>
        </w:rPr>
        <w:t xml:space="preserve"> </w:t>
      </w:r>
      <w:r>
        <w:rPr>
          <w:spacing w:val="-1"/>
        </w:rPr>
        <w:t>may</w:t>
      </w:r>
      <w:r>
        <w:rPr>
          <w:spacing w:val="8"/>
        </w:rPr>
        <w:t xml:space="preserve"> </w:t>
      </w:r>
      <w:r>
        <w:t>underlie</w:t>
      </w:r>
      <w:r>
        <w:rPr>
          <w:spacing w:val="8"/>
        </w:rPr>
        <w:t xml:space="preserve"> </w:t>
      </w:r>
      <w:r>
        <w:t>the</w:t>
      </w:r>
      <w:r>
        <w:rPr>
          <w:spacing w:val="7"/>
        </w:rPr>
        <w:t xml:space="preserve"> </w:t>
      </w:r>
      <w:r>
        <w:rPr>
          <w:spacing w:val="-1"/>
        </w:rPr>
        <w:t>Stipulation.</w:t>
      </w:r>
      <w:r>
        <w:rPr>
          <w:spacing w:val="15"/>
        </w:rPr>
        <w:t xml:space="preserve"> </w:t>
      </w:r>
      <w:r w:rsidR="00FA0225">
        <w:rPr>
          <w:spacing w:val="15"/>
        </w:rPr>
        <w:t xml:space="preserve"> </w:t>
      </w:r>
      <w:r>
        <w:rPr>
          <w:spacing w:val="-1"/>
        </w:rPr>
        <w:t>Entry</w:t>
      </w:r>
      <w:r>
        <w:rPr>
          <w:spacing w:val="8"/>
        </w:rPr>
        <w:t xml:space="preserve"> </w:t>
      </w:r>
      <w:r>
        <w:t>of</w:t>
      </w:r>
      <w:r>
        <w:rPr>
          <w:spacing w:val="8"/>
        </w:rPr>
        <w:t xml:space="preserve"> </w:t>
      </w:r>
      <w:r>
        <w:t>this</w:t>
      </w:r>
      <w:r>
        <w:rPr>
          <w:spacing w:val="8"/>
        </w:rPr>
        <w:t xml:space="preserve"> </w:t>
      </w:r>
      <w:r>
        <w:t>Order</w:t>
      </w:r>
      <w:r>
        <w:rPr>
          <w:spacing w:val="8"/>
        </w:rPr>
        <w:t xml:space="preserve"> </w:t>
      </w:r>
      <w:r>
        <w:t>shall</w:t>
      </w:r>
      <w:r>
        <w:rPr>
          <w:spacing w:val="8"/>
        </w:rPr>
        <w:t xml:space="preserve"> </w:t>
      </w:r>
      <w:r>
        <w:t>not</w:t>
      </w:r>
      <w:r>
        <w:rPr>
          <w:spacing w:val="47"/>
        </w:rPr>
        <w:t xml:space="preserve"> </w:t>
      </w:r>
      <w:r>
        <w:t>be</w:t>
      </w:r>
      <w:r>
        <w:rPr>
          <w:spacing w:val="31"/>
        </w:rPr>
        <w:t xml:space="preserve"> </w:t>
      </w:r>
      <w:r>
        <w:rPr>
          <w:spacing w:val="-1"/>
        </w:rPr>
        <w:t>regarded</w:t>
      </w:r>
      <w:r>
        <w:rPr>
          <w:spacing w:val="30"/>
        </w:rPr>
        <w:t xml:space="preserve"> </w:t>
      </w:r>
      <w:r>
        <w:t>as</w:t>
      </w:r>
      <w:r>
        <w:rPr>
          <w:spacing w:val="31"/>
        </w:rPr>
        <w:t xml:space="preserve"> </w:t>
      </w:r>
      <w:r>
        <w:t>binding</w:t>
      </w:r>
      <w:r>
        <w:rPr>
          <w:spacing w:val="30"/>
        </w:rPr>
        <w:t xml:space="preserve"> </w:t>
      </w:r>
      <w:r>
        <w:t>holding</w:t>
      </w:r>
      <w:r>
        <w:rPr>
          <w:spacing w:val="31"/>
        </w:rPr>
        <w:t xml:space="preserve"> </w:t>
      </w:r>
      <w:r>
        <w:t>or</w:t>
      </w:r>
      <w:r>
        <w:rPr>
          <w:spacing w:val="30"/>
        </w:rPr>
        <w:t xml:space="preserve"> </w:t>
      </w:r>
      <w:r>
        <w:rPr>
          <w:spacing w:val="-1"/>
        </w:rPr>
        <w:t>precedent</w:t>
      </w:r>
      <w:r>
        <w:rPr>
          <w:spacing w:val="31"/>
        </w:rPr>
        <w:t xml:space="preserve"> </w:t>
      </w:r>
      <w:r>
        <w:t>as</w:t>
      </w:r>
      <w:r>
        <w:rPr>
          <w:spacing w:val="30"/>
        </w:rPr>
        <w:t xml:space="preserve"> </w:t>
      </w:r>
      <w:r>
        <w:t>to</w:t>
      </w:r>
      <w:r>
        <w:rPr>
          <w:spacing w:val="31"/>
        </w:rPr>
        <w:t xml:space="preserve"> </w:t>
      </w:r>
      <w:r>
        <w:t>the</w:t>
      </w:r>
      <w:r>
        <w:rPr>
          <w:spacing w:val="31"/>
        </w:rPr>
        <w:t xml:space="preserve"> </w:t>
      </w:r>
      <w:r>
        <w:rPr>
          <w:spacing w:val="-1"/>
        </w:rPr>
        <w:t>appropriateness</w:t>
      </w:r>
      <w:r>
        <w:rPr>
          <w:spacing w:val="30"/>
        </w:rPr>
        <w:t xml:space="preserve"> </w:t>
      </w:r>
      <w:r>
        <w:t>of</w:t>
      </w:r>
      <w:r>
        <w:rPr>
          <w:spacing w:val="31"/>
        </w:rPr>
        <w:t xml:space="preserve"> </w:t>
      </w:r>
      <w:r>
        <w:t>any</w:t>
      </w:r>
      <w:r>
        <w:rPr>
          <w:spacing w:val="31"/>
        </w:rPr>
        <w:t xml:space="preserve"> </w:t>
      </w:r>
      <w:r>
        <w:t>principle</w:t>
      </w:r>
      <w:r>
        <w:rPr>
          <w:spacing w:val="53"/>
        </w:rPr>
        <w:t xml:space="preserve"> </w:t>
      </w:r>
      <w:r>
        <w:t>underlying the Stipulation.</w:t>
      </w:r>
    </w:p>
    <w:p w14:paraId="19A35063" w14:textId="09DE1F28" w:rsidR="00363B18" w:rsidRDefault="00363B18" w:rsidP="00705A94">
      <w:pPr>
        <w:pStyle w:val="BodyText"/>
        <w:numPr>
          <w:ilvl w:val="0"/>
          <w:numId w:val="9"/>
        </w:numPr>
        <w:tabs>
          <w:tab w:val="left" w:pos="820"/>
        </w:tabs>
        <w:spacing w:before="0" w:line="360" w:lineRule="auto"/>
        <w:ind w:left="547" w:hanging="547"/>
        <w:jc w:val="both"/>
        <w:rPr>
          <w:spacing w:val="-1"/>
        </w:rPr>
      </w:pPr>
      <w:r>
        <w:t>All</w:t>
      </w:r>
      <w:r>
        <w:rPr>
          <w:spacing w:val="12"/>
        </w:rPr>
        <w:t xml:space="preserve"> </w:t>
      </w:r>
      <w:r>
        <w:t>other</w:t>
      </w:r>
      <w:r>
        <w:rPr>
          <w:spacing w:val="12"/>
        </w:rPr>
        <w:t xml:space="preserve"> </w:t>
      </w:r>
      <w:r>
        <w:rPr>
          <w:spacing w:val="-1"/>
        </w:rPr>
        <w:t>motions,</w:t>
      </w:r>
      <w:r>
        <w:rPr>
          <w:spacing w:val="12"/>
        </w:rPr>
        <w:t xml:space="preserve"> </w:t>
      </w:r>
      <w:r>
        <w:t>requests</w:t>
      </w:r>
      <w:r>
        <w:rPr>
          <w:spacing w:val="12"/>
        </w:rPr>
        <w:t xml:space="preserve"> </w:t>
      </w:r>
      <w:r>
        <w:rPr>
          <w:spacing w:val="-1"/>
        </w:rPr>
        <w:t>for</w:t>
      </w:r>
      <w:r>
        <w:rPr>
          <w:spacing w:val="12"/>
        </w:rPr>
        <w:t xml:space="preserve"> </w:t>
      </w:r>
      <w:r>
        <w:t>entry</w:t>
      </w:r>
      <w:r>
        <w:rPr>
          <w:spacing w:val="12"/>
        </w:rPr>
        <w:t xml:space="preserve"> </w:t>
      </w:r>
      <w:r>
        <w:t>of</w:t>
      </w:r>
      <w:r>
        <w:rPr>
          <w:spacing w:val="12"/>
        </w:rPr>
        <w:t xml:space="preserve"> </w:t>
      </w:r>
      <w:r>
        <w:t>specific</w:t>
      </w:r>
      <w:r>
        <w:rPr>
          <w:spacing w:val="12"/>
        </w:rPr>
        <w:t xml:space="preserve"> </w:t>
      </w:r>
      <w:r>
        <w:t>findings</w:t>
      </w:r>
      <w:r>
        <w:rPr>
          <w:spacing w:val="12"/>
        </w:rPr>
        <w:t xml:space="preserve"> </w:t>
      </w:r>
      <w:r>
        <w:t>of</w:t>
      </w:r>
      <w:r>
        <w:rPr>
          <w:spacing w:val="12"/>
        </w:rPr>
        <w:t xml:space="preserve"> </w:t>
      </w:r>
      <w:r>
        <w:rPr>
          <w:spacing w:val="-1"/>
        </w:rPr>
        <w:t>fact,</w:t>
      </w:r>
      <w:r>
        <w:rPr>
          <w:spacing w:val="12"/>
        </w:rPr>
        <w:t xml:space="preserve"> </w:t>
      </w:r>
      <w:r>
        <w:t>conclusions</w:t>
      </w:r>
      <w:r>
        <w:rPr>
          <w:spacing w:val="12"/>
        </w:rPr>
        <w:t xml:space="preserve"> </w:t>
      </w:r>
      <w:r>
        <w:t>of</w:t>
      </w:r>
      <w:r>
        <w:rPr>
          <w:spacing w:val="12"/>
        </w:rPr>
        <w:t xml:space="preserve"> </w:t>
      </w:r>
      <w:r>
        <w:t>law,</w:t>
      </w:r>
      <w:r>
        <w:rPr>
          <w:spacing w:val="12"/>
        </w:rPr>
        <w:t xml:space="preserve"> </w:t>
      </w:r>
      <w:r>
        <w:t>and</w:t>
      </w:r>
      <w:r>
        <w:rPr>
          <w:spacing w:val="23"/>
        </w:rPr>
        <w:t xml:space="preserve"> </w:t>
      </w:r>
      <w:r>
        <w:rPr>
          <w:spacing w:val="-1"/>
        </w:rPr>
        <w:t>ordering</w:t>
      </w:r>
      <w:r>
        <w:rPr>
          <w:spacing w:val="8"/>
        </w:rPr>
        <w:t xml:space="preserve"> </w:t>
      </w:r>
      <w:r>
        <w:rPr>
          <w:spacing w:val="-1"/>
        </w:rPr>
        <w:t>paragraphs,</w:t>
      </w:r>
      <w:r>
        <w:rPr>
          <w:spacing w:val="7"/>
        </w:rPr>
        <w:t xml:space="preserve"> </w:t>
      </w:r>
      <w:r>
        <w:rPr>
          <w:spacing w:val="-1"/>
        </w:rPr>
        <w:t>and</w:t>
      </w:r>
      <w:r>
        <w:rPr>
          <w:spacing w:val="8"/>
        </w:rPr>
        <w:t xml:space="preserve"> </w:t>
      </w:r>
      <w:r>
        <w:rPr>
          <w:spacing w:val="-1"/>
        </w:rPr>
        <w:t>any</w:t>
      </w:r>
      <w:r>
        <w:rPr>
          <w:spacing w:val="8"/>
        </w:rPr>
        <w:t xml:space="preserve"> </w:t>
      </w:r>
      <w:r>
        <w:rPr>
          <w:spacing w:val="-1"/>
        </w:rPr>
        <w:t>other</w:t>
      </w:r>
      <w:r>
        <w:rPr>
          <w:spacing w:val="7"/>
        </w:rPr>
        <w:t xml:space="preserve"> </w:t>
      </w:r>
      <w:r>
        <w:t>requests</w:t>
      </w:r>
      <w:r>
        <w:rPr>
          <w:spacing w:val="8"/>
        </w:rPr>
        <w:t xml:space="preserve"> </w:t>
      </w:r>
      <w:r>
        <w:t>for</w:t>
      </w:r>
      <w:r>
        <w:rPr>
          <w:spacing w:val="7"/>
        </w:rPr>
        <w:t xml:space="preserve"> </w:t>
      </w:r>
      <w:r>
        <w:t>general</w:t>
      </w:r>
      <w:r>
        <w:rPr>
          <w:spacing w:val="8"/>
        </w:rPr>
        <w:t xml:space="preserve"> </w:t>
      </w:r>
      <w:r>
        <w:t>or</w:t>
      </w:r>
      <w:r>
        <w:rPr>
          <w:spacing w:val="8"/>
        </w:rPr>
        <w:t xml:space="preserve"> </w:t>
      </w:r>
      <w:r>
        <w:rPr>
          <w:spacing w:val="-1"/>
        </w:rPr>
        <w:t>specific</w:t>
      </w:r>
      <w:r>
        <w:rPr>
          <w:spacing w:val="7"/>
        </w:rPr>
        <w:t xml:space="preserve"> </w:t>
      </w:r>
      <w:r>
        <w:t>relief,</w:t>
      </w:r>
      <w:r>
        <w:rPr>
          <w:spacing w:val="8"/>
        </w:rPr>
        <w:t xml:space="preserve"> </w:t>
      </w:r>
      <w:r>
        <w:t>if</w:t>
      </w:r>
      <w:r>
        <w:rPr>
          <w:spacing w:val="8"/>
        </w:rPr>
        <w:t xml:space="preserve"> </w:t>
      </w:r>
      <w:r>
        <w:t>not</w:t>
      </w:r>
      <w:r>
        <w:rPr>
          <w:spacing w:val="7"/>
        </w:rPr>
        <w:t xml:space="preserve"> </w:t>
      </w:r>
      <w:r>
        <w:t>expressly</w:t>
      </w:r>
      <w:r>
        <w:rPr>
          <w:spacing w:val="29"/>
        </w:rPr>
        <w:t xml:space="preserve"> </w:t>
      </w:r>
      <w:r w:rsidR="008A1597">
        <w:rPr>
          <w:spacing w:val="-1"/>
        </w:rPr>
        <w:t>granted in this O</w:t>
      </w:r>
      <w:r>
        <w:rPr>
          <w:spacing w:val="-1"/>
        </w:rPr>
        <w:t>rder, are denied.</w:t>
      </w:r>
    </w:p>
    <w:p w14:paraId="128F0A92" w14:textId="3DAE1426" w:rsidR="00284927" w:rsidRDefault="00284927" w:rsidP="0086611A">
      <w:pPr>
        <w:spacing w:before="191"/>
        <w:rPr>
          <w:b/>
        </w:rPr>
      </w:pPr>
    </w:p>
    <w:p w14:paraId="5A47B831" w14:textId="4977B29B" w:rsidR="00FA0225" w:rsidRDefault="00FA0225" w:rsidP="0086611A">
      <w:pPr>
        <w:spacing w:before="191"/>
        <w:rPr>
          <w:b/>
        </w:rPr>
      </w:pPr>
    </w:p>
    <w:p w14:paraId="100BBE9A" w14:textId="77777777" w:rsidR="00FA0225" w:rsidRDefault="00FA0225" w:rsidP="0086611A">
      <w:pPr>
        <w:spacing w:before="191"/>
        <w:rPr>
          <w:b/>
        </w:rPr>
      </w:pPr>
    </w:p>
    <w:p w14:paraId="7819BC1B" w14:textId="77777777" w:rsidR="00B52029" w:rsidRDefault="00B52029">
      <w:pPr>
        <w:spacing w:after="160" w:line="259" w:lineRule="auto"/>
        <w:rPr>
          <w:b/>
        </w:rPr>
      </w:pPr>
      <w:r>
        <w:rPr>
          <w:b/>
        </w:rPr>
        <w:br w:type="page"/>
      </w:r>
    </w:p>
    <w:p w14:paraId="7CC5201D" w14:textId="1E31D088" w:rsidR="00363B18" w:rsidRPr="00B52029" w:rsidRDefault="00B73694" w:rsidP="00B52029">
      <w:pPr>
        <w:spacing w:after="160" w:line="259" w:lineRule="auto"/>
        <w:rPr>
          <w:b/>
        </w:rPr>
      </w:pPr>
      <w:r>
        <w:rPr>
          <w:b/>
        </w:rPr>
        <w:lastRenderedPageBreak/>
        <w:t xml:space="preserve">Signed at Austin, Texas the _____ </w:t>
      </w:r>
      <w:r w:rsidR="00363B18">
        <w:rPr>
          <w:b/>
        </w:rPr>
        <w:t xml:space="preserve">day of </w:t>
      </w:r>
      <w:r>
        <w:rPr>
          <w:b/>
        </w:rPr>
        <w:t>_____________202</w:t>
      </w:r>
      <w:r w:rsidR="00DB6367">
        <w:rPr>
          <w:b/>
        </w:rPr>
        <w:t>3</w:t>
      </w:r>
      <w:r w:rsidR="00363B18">
        <w:rPr>
          <w:b/>
        </w:rPr>
        <w:t>.</w:t>
      </w:r>
    </w:p>
    <w:p w14:paraId="63735667" w14:textId="77777777" w:rsidR="00363B18" w:rsidRDefault="00363B18" w:rsidP="0086611A">
      <w:pPr>
        <w:rPr>
          <w:rFonts w:eastAsia="Times New Roman"/>
          <w:b/>
          <w:bCs/>
        </w:rPr>
      </w:pPr>
    </w:p>
    <w:p w14:paraId="5AC692DF" w14:textId="480D19C8" w:rsidR="00363B18" w:rsidRDefault="00363B18" w:rsidP="00B52029">
      <w:pPr>
        <w:ind w:left="4320"/>
        <w:rPr>
          <w:rFonts w:eastAsia="Times New Roman"/>
        </w:rPr>
      </w:pPr>
      <w:r>
        <w:rPr>
          <w:b/>
          <w:spacing w:val="-1"/>
        </w:rPr>
        <w:t>PUBLIC UTILITY</w:t>
      </w:r>
      <w:r>
        <w:rPr>
          <w:b/>
        </w:rPr>
        <w:t xml:space="preserve"> </w:t>
      </w:r>
      <w:r>
        <w:rPr>
          <w:b/>
          <w:spacing w:val="-1"/>
        </w:rPr>
        <w:t xml:space="preserve">COMMISSION </w:t>
      </w:r>
      <w:r>
        <w:rPr>
          <w:b/>
        </w:rPr>
        <w:t>OF</w:t>
      </w:r>
      <w:r>
        <w:rPr>
          <w:b/>
          <w:spacing w:val="-1"/>
        </w:rPr>
        <w:t xml:space="preserve"> TEXAS</w:t>
      </w:r>
    </w:p>
    <w:p w14:paraId="5976AFC6" w14:textId="4734523C" w:rsidR="00363B18" w:rsidRDefault="00363B18" w:rsidP="00B52029">
      <w:pPr>
        <w:ind w:left="4320"/>
        <w:rPr>
          <w:rFonts w:eastAsia="Times New Roman"/>
          <w:b/>
          <w:bCs/>
          <w:sz w:val="20"/>
          <w:szCs w:val="20"/>
        </w:rPr>
      </w:pPr>
    </w:p>
    <w:p w14:paraId="3942279B" w14:textId="77777777" w:rsidR="00363B18" w:rsidRDefault="00363B18" w:rsidP="00B52029">
      <w:pPr>
        <w:ind w:left="4320"/>
        <w:rPr>
          <w:rFonts w:eastAsia="Times New Roman"/>
          <w:b/>
          <w:bCs/>
          <w:sz w:val="20"/>
          <w:szCs w:val="20"/>
        </w:rPr>
      </w:pPr>
    </w:p>
    <w:p w14:paraId="39F635A2" w14:textId="77777777" w:rsidR="00363B18" w:rsidRDefault="00363B18" w:rsidP="00B52029">
      <w:pPr>
        <w:spacing w:before="8"/>
        <w:ind w:left="4320"/>
        <w:rPr>
          <w:rFonts w:eastAsia="Times New Roman"/>
          <w:b/>
          <w:bCs/>
          <w:sz w:val="26"/>
          <w:szCs w:val="26"/>
        </w:rPr>
      </w:pPr>
    </w:p>
    <w:p w14:paraId="357456E7" w14:textId="605092F2" w:rsidR="00363B18" w:rsidRDefault="00363B18" w:rsidP="00B52029">
      <w:pPr>
        <w:spacing w:line="20" w:lineRule="atLeast"/>
        <w:ind w:left="4320"/>
        <w:rPr>
          <w:rFonts w:eastAsia="Times New Roman"/>
          <w:sz w:val="2"/>
          <w:szCs w:val="2"/>
        </w:rPr>
      </w:pPr>
      <w:r>
        <w:rPr>
          <w:rFonts w:eastAsia="Times New Roman"/>
          <w:noProof/>
          <w:sz w:val="2"/>
          <w:szCs w:val="2"/>
        </w:rPr>
        <mc:AlternateContent>
          <mc:Choice Requires="wpg">
            <w:drawing>
              <wp:inline distT="0" distB="0" distL="0" distR="0" wp14:anchorId="27A0EB38" wp14:editId="160BDE01">
                <wp:extent cx="3134360" cy="10160"/>
                <wp:effectExtent l="4445" t="6350" r="4445" b="2540"/>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4360" cy="10160"/>
                          <a:chOff x="0" y="0"/>
                          <a:chExt cx="4936" cy="16"/>
                        </a:xfrm>
                      </wpg:grpSpPr>
                      <wpg:grpSp>
                        <wpg:cNvPr id="21" name="Group 19"/>
                        <wpg:cNvGrpSpPr>
                          <a:grpSpLocks/>
                        </wpg:cNvGrpSpPr>
                        <wpg:grpSpPr bwMode="auto">
                          <a:xfrm>
                            <a:off x="8" y="8"/>
                            <a:ext cx="4920" cy="2"/>
                            <a:chOff x="8" y="8"/>
                            <a:chExt cx="4920" cy="2"/>
                          </a:xfrm>
                        </wpg:grpSpPr>
                        <wps:wsp>
                          <wps:cNvPr id="22" name="Freeform 20"/>
                          <wps:cNvSpPr>
                            <a:spLocks/>
                          </wps:cNvSpPr>
                          <wps:spPr bwMode="auto">
                            <a:xfrm>
                              <a:off x="8" y="8"/>
                              <a:ext cx="4920" cy="2"/>
                            </a:xfrm>
                            <a:custGeom>
                              <a:avLst/>
                              <a:gdLst>
                                <a:gd name="T0" fmla="+- 0 8 8"/>
                                <a:gd name="T1" fmla="*/ T0 w 4920"/>
                                <a:gd name="T2" fmla="+- 0 4928 8"/>
                                <a:gd name="T3" fmla="*/ T2 w 4920"/>
                              </a:gdLst>
                              <a:ahLst/>
                              <a:cxnLst>
                                <a:cxn ang="0">
                                  <a:pos x="T1" y="0"/>
                                </a:cxn>
                                <a:cxn ang="0">
                                  <a:pos x="T3" y="0"/>
                                </a:cxn>
                              </a:cxnLst>
                              <a:rect l="0" t="0" r="r" b="b"/>
                              <a:pathLst>
                                <a:path w="4920">
                                  <a:moveTo>
                                    <a:pt x="0" y="0"/>
                                  </a:moveTo>
                                  <a:lnTo>
                                    <a:pt x="49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D6B9C3B" id="Group 20" o:spid="_x0000_s1026" style="width:246.8pt;height:.8pt;mso-position-horizontal-relative:char;mso-position-vertical-relative:line" coordsize="493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">
                <v:group id="Group 19" o:spid="_x0000_s1027" style="position:absolute;left:8;top:8;width:4920;height:2" coordorigin="8,8" coordsize="4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20" o:spid="_x0000_s1028" style="position:absolute;left:8;top:8;width:4920;height:2;visibility:visible;mso-wrap-style:square;v-text-anchor:top" coordsize="49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" path="m,l4920,e" filled="f" strokeweight=".26669mm">
                    <v:path arrowok="t" o:connecttype="custom" o:connectlocs="0,0;4920,0" o:connectangles="0,0"/>
                  </v:shape>
                </v:group>
                <w10:anchorlock/>
              </v:group>
            </w:pict>
          </mc:Fallback>
        </mc:AlternateContent>
      </w:r>
    </w:p>
    <w:p w14:paraId="4B36A798" w14:textId="30BA5438" w:rsidR="00363B18" w:rsidRDefault="00B73694" w:rsidP="00B52029">
      <w:pPr>
        <w:spacing w:line="262" w:lineRule="exact"/>
        <w:ind w:left="4320"/>
        <w:rPr>
          <w:rFonts w:eastAsia="Times New Roman"/>
        </w:rPr>
      </w:pPr>
      <w:r>
        <w:rPr>
          <w:b/>
          <w:spacing w:val="-1"/>
        </w:rPr>
        <w:t>PETER M. LAKE</w:t>
      </w:r>
      <w:r w:rsidR="00363B18">
        <w:rPr>
          <w:b/>
          <w:spacing w:val="-1"/>
        </w:rPr>
        <w:t>,</w:t>
      </w:r>
      <w:r w:rsidR="00363B18">
        <w:rPr>
          <w:b/>
          <w:spacing w:val="1"/>
        </w:rPr>
        <w:t xml:space="preserve"> </w:t>
      </w:r>
      <w:r w:rsidR="00363B18">
        <w:rPr>
          <w:b/>
          <w:spacing w:val="-1"/>
        </w:rPr>
        <w:t>CHAIRMAN</w:t>
      </w:r>
    </w:p>
    <w:p w14:paraId="43BB4EDC" w14:textId="45895BCF" w:rsidR="00363B18" w:rsidRDefault="00363B18" w:rsidP="00B52029">
      <w:pPr>
        <w:ind w:left="4320"/>
        <w:rPr>
          <w:rFonts w:eastAsia="Times New Roman"/>
          <w:b/>
          <w:bCs/>
          <w:sz w:val="20"/>
          <w:szCs w:val="20"/>
        </w:rPr>
      </w:pPr>
    </w:p>
    <w:p w14:paraId="03CD2212" w14:textId="77777777" w:rsidR="00363B18" w:rsidRDefault="00363B18" w:rsidP="00B52029">
      <w:pPr>
        <w:ind w:left="4320"/>
        <w:rPr>
          <w:rFonts w:eastAsia="Times New Roman"/>
          <w:b/>
          <w:bCs/>
          <w:sz w:val="20"/>
          <w:szCs w:val="20"/>
        </w:rPr>
      </w:pPr>
    </w:p>
    <w:p w14:paraId="6FA0BF56" w14:textId="77777777" w:rsidR="00363B18" w:rsidRDefault="00363B18" w:rsidP="00B52029">
      <w:pPr>
        <w:ind w:left="4320"/>
        <w:rPr>
          <w:rFonts w:eastAsia="Times New Roman"/>
          <w:b/>
          <w:bCs/>
          <w:sz w:val="20"/>
          <w:szCs w:val="20"/>
        </w:rPr>
      </w:pPr>
    </w:p>
    <w:p w14:paraId="04D94C4B" w14:textId="77777777" w:rsidR="00363B18" w:rsidRDefault="00363B18" w:rsidP="00B52029">
      <w:pPr>
        <w:spacing w:before="8"/>
        <w:ind w:left="4320"/>
        <w:rPr>
          <w:rFonts w:eastAsia="Times New Roman"/>
          <w:b/>
          <w:bCs/>
          <w:sz w:val="14"/>
          <w:szCs w:val="14"/>
        </w:rPr>
      </w:pPr>
    </w:p>
    <w:p w14:paraId="1F508B13" w14:textId="7115B393" w:rsidR="00363B18" w:rsidRDefault="00363B18" w:rsidP="00B52029">
      <w:pPr>
        <w:spacing w:line="20" w:lineRule="atLeast"/>
        <w:ind w:left="4320"/>
        <w:rPr>
          <w:rFonts w:eastAsia="Times New Roman"/>
          <w:sz w:val="2"/>
          <w:szCs w:val="2"/>
        </w:rPr>
      </w:pPr>
      <w:r>
        <w:rPr>
          <w:rFonts w:eastAsia="Times New Roman"/>
          <w:noProof/>
          <w:sz w:val="2"/>
          <w:szCs w:val="2"/>
        </w:rPr>
        <mc:AlternateContent>
          <mc:Choice Requires="wpg">
            <w:drawing>
              <wp:inline distT="0" distB="0" distL="0" distR="0" wp14:anchorId="636C898D" wp14:editId="5487996C">
                <wp:extent cx="3210560" cy="10160"/>
                <wp:effectExtent l="4445" t="6985" r="4445" b="190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0560" cy="10160"/>
                          <a:chOff x="0" y="0"/>
                          <a:chExt cx="5056" cy="16"/>
                        </a:xfrm>
                      </wpg:grpSpPr>
                      <wpg:grpSp>
                        <wpg:cNvPr id="18" name="Group 16"/>
                        <wpg:cNvGrpSpPr>
                          <a:grpSpLocks/>
                        </wpg:cNvGrpSpPr>
                        <wpg:grpSpPr bwMode="auto">
                          <a:xfrm>
                            <a:off x="8" y="8"/>
                            <a:ext cx="5040" cy="2"/>
                            <a:chOff x="8" y="8"/>
                            <a:chExt cx="5040" cy="2"/>
                          </a:xfrm>
                        </wpg:grpSpPr>
                        <wps:wsp>
                          <wps:cNvPr id="19" name="Freeform 17"/>
                          <wps:cNvSpPr>
                            <a:spLocks/>
                          </wps:cNvSpPr>
                          <wps:spPr bwMode="auto">
                            <a:xfrm>
                              <a:off x="8" y="8"/>
                              <a:ext cx="5040" cy="2"/>
                            </a:xfrm>
                            <a:custGeom>
                              <a:avLst/>
                              <a:gdLst>
                                <a:gd name="T0" fmla="+- 0 8 8"/>
                                <a:gd name="T1" fmla="*/ T0 w 5040"/>
                                <a:gd name="T2" fmla="+- 0 5048 8"/>
                                <a:gd name="T3" fmla="*/ T2 w 5040"/>
                              </a:gdLst>
                              <a:ahLst/>
                              <a:cxnLst>
                                <a:cxn ang="0">
                                  <a:pos x="T1" y="0"/>
                                </a:cxn>
                                <a:cxn ang="0">
                                  <a:pos x="T3" y="0"/>
                                </a:cxn>
                              </a:cxnLst>
                              <a:rect l="0" t="0" r="r" b="b"/>
                              <a:pathLst>
                                <a:path w="5040">
                                  <a:moveTo>
                                    <a:pt x="0" y="0"/>
                                  </a:moveTo>
                                  <a:lnTo>
                                    <a:pt x="504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11ACD5" id="Group 17" o:spid="_x0000_s1026" style="width:252.8pt;height:.8pt;mso-position-horizontal-relative:char;mso-position-vertical-relative:line" coordsize="50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">
                <v:group id="Group 16" o:spid="_x0000_s1027" style="position:absolute;left:8;top:8;width:5040;height:2" coordorigin="8,8"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7" o:spid="_x0000_s1028" style="position:absolute;left:8;top:8;width:5040;height:2;visibility:visible;mso-wrap-style:square;v-text-anchor:top"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" path="m,l5040,e" filled="f" strokeweight=".26669mm">
                    <v:path arrowok="t" o:connecttype="custom" o:connectlocs="0,0;5040,0" o:connectangles="0,0"/>
                  </v:shape>
                </v:group>
                <w10:anchorlock/>
              </v:group>
            </w:pict>
          </mc:Fallback>
        </mc:AlternateContent>
      </w:r>
    </w:p>
    <w:p w14:paraId="6FF429B9" w14:textId="19C799B5" w:rsidR="00363B18" w:rsidRDefault="00B73694" w:rsidP="00B52029">
      <w:pPr>
        <w:spacing w:line="262" w:lineRule="exact"/>
        <w:ind w:left="4320"/>
        <w:rPr>
          <w:rFonts w:eastAsia="Times New Roman"/>
        </w:rPr>
      </w:pPr>
      <w:r>
        <w:rPr>
          <w:rFonts w:eastAsia="Times New Roman"/>
          <w:b/>
          <w:bCs/>
          <w:spacing w:val="-1"/>
        </w:rPr>
        <w:t>WILL MCADAMS</w:t>
      </w:r>
      <w:r w:rsidR="00363B18">
        <w:rPr>
          <w:rFonts w:eastAsia="Times New Roman"/>
          <w:b/>
          <w:bCs/>
          <w:spacing w:val="-1"/>
        </w:rPr>
        <w:t>,</w:t>
      </w:r>
      <w:r w:rsidR="00363B18">
        <w:rPr>
          <w:rFonts w:eastAsia="Times New Roman"/>
          <w:b/>
          <w:bCs/>
          <w:spacing w:val="1"/>
        </w:rPr>
        <w:t xml:space="preserve"> </w:t>
      </w:r>
      <w:r w:rsidR="00363B18">
        <w:rPr>
          <w:rFonts w:eastAsia="Times New Roman"/>
          <w:b/>
          <w:bCs/>
          <w:spacing w:val="-1"/>
        </w:rPr>
        <w:t>COMMISSIONER</w:t>
      </w:r>
    </w:p>
    <w:p w14:paraId="409C9ED4" w14:textId="484423AE" w:rsidR="00363B18" w:rsidRDefault="00363B18" w:rsidP="00B52029">
      <w:pPr>
        <w:ind w:left="4320"/>
        <w:rPr>
          <w:rFonts w:eastAsia="Times New Roman"/>
          <w:b/>
          <w:bCs/>
          <w:sz w:val="20"/>
          <w:szCs w:val="20"/>
        </w:rPr>
      </w:pPr>
    </w:p>
    <w:p w14:paraId="5385FE7C" w14:textId="77777777" w:rsidR="00363B18" w:rsidRDefault="00363B18" w:rsidP="00B52029">
      <w:pPr>
        <w:ind w:left="4320"/>
        <w:rPr>
          <w:rFonts w:eastAsia="Times New Roman"/>
          <w:b/>
          <w:bCs/>
          <w:sz w:val="20"/>
          <w:szCs w:val="20"/>
        </w:rPr>
      </w:pPr>
    </w:p>
    <w:p w14:paraId="5680C239" w14:textId="77777777" w:rsidR="00363B18" w:rsidRDefault="00363B18" w:rsidP="00B52029">
      <w:pPr>
        <w:ind w:left="4320"/>
        <w:rPr>
          <w:rFonts w:eastAsia="Times New Roman"/>
          <w:b/>
          <w:bCs/>
          <w:sz w:val="20"/>
          <w:szCs w:val="20"/>
        </w:rPr>
      </w:pPr>
    </w:p>
    <w:p w14:paraId="24A7E31E" w14:textId="77777777" w:rsidR="00363B18" w:rsidRDefault="00363B18" w:rsidP="00B52029">
      <w:pPr>
        <w:spacing w:before="8"/>
        <w:ind w:left="4320"/>
        <w:rPr>
          <w:rFonts w:eastAsia="Times New Roman"/>
          <w:b/>
          <w:bCs/>
          <w:sz w:val="14"/>
          <w:szCs w:val="14"/>
        </w:rPr>
      </w:pPr>
    </w:p>
    <w:p w14:paraId="57C0CAA4" w14:textId="5E8FE542" w:rsidR="00363B18" w:rsidRDefault="00363B18" w:rsidP="00B52029">
      <w:pPr>
        <w:spacing w:line="20" w:lineRule="atLeast"/>
        <w:ind w:left="4320"/>
        <w:rPr>
          <w:rFonts w:eastAsia="Times New Roman"/>
          <w:sz w:val="2"/>
          <w:szCs w:val="2"/>
        </w:rPr>
      </w:pPr>
      <w:r>
        <w:rPr>
          <w:rFonts w:eastAsia="Times New Roman"/>
          <w:noProof/>
          <w:sz w:val="2"/>
          <w:szCs w:val="2"/>
        </w:rPr>
        <mc:AlternateContent>
          <mc:Choice Requires="wpg">
            <w:drawing>
              <wp:inline distT="0" distB="0" distL="0" distR="0" wp14:anchorId="55E5C7A1" wp14:editId="0DBB1E8E">
                <wp:extent cx="3210560" cy="10160"/>
                <wp:effectExtent l="4445" t="7620" r="4445" b="127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0560" cy="10160"/>
                          <a:chOff x="0" y="0"/>
                          <a:chExt cx="5056" cy="16"/>
                        </a:xfrm>
                      </wpg:grpSpPr>
                      <wpg:grpSp>
                        <wpg:cNvPr id="15" name="Group 13"/>
                        <wpg:cNvGrpSpPr>
                          <a:grpSpLocks/>
                        </wpg:cNvGrpSpPr>
                        <wpg:grpSpPr bwMode="auto">
                          <a:xfrm>
                            <a:off x="8" y="8"/>
                            <a:ext cx="5040" cy="2"/>
                            <a:chOff x="8" y="8"/>
                            <a:chExt cx="5040" cy="2"/>
                          </a:xfrm>
                        </wpg:grpSpPr>
                        <wps:wsp>
                          <wps:cNvPr id="16" name="Freeform 14"/>
                          <wps:cNvSpPr>
                            <a:spLocks/>
                          </wps:cNvSpPr>
                          <wps:spPr bwMode="auto">
                            <a:xfrm>
                              <a:off x="8" y="8"/>
                              <a:ext cx="5040" cy="2"/>
                            </a:xfrm>
                            <a:custGeom>
                              <a:avLst/>
                              <a:gdLst>
                                <a:gd name="T0" fmla="+- 0 8 8"/>
                                <a:gd name="T1" fmla="*/ T0 w 5040"/>
                                <a:gd name="T2" fmla="+- 0 5048 8"/>
                                <a:gd name="T3" fmla="*/ T2 w 5040"/>
                              </a:gdLst>
                              <a:ahLst/>
                              <a:cxnLst>
                                <a:cxn ang="0">
                                  <a:pos x="T1" y="0"/>
                                </a:cxn>
                                <a:cxn ang="0">
                                  <a:pos x="T3" y="0"/>
                                </a:cxn>
                              </a:cxnLst>
                              <a:rect l="0" t="0" r="r" b="b"/>
                              <a:pathLst>
                                <a:path w="5040">
                                  <a:moveTo>
                                    <a:pt x="0" y="0"/>
                                  </a:moveTo>
                                  <a:lnTo>
                                    <a:pt x="504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BDA710A" id="Group 14" o:spid="_x0000_s1026" style="width:252.8pt;height:.8pt;mso-position-horizontal-relative:char;mso-position-vertical-relative:line" coordsize="50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">
                <v:group id="Group 13" o:spid="_x0000_s1027" style="position:absolute;left:8;top:8;width:5040;height:2" coordorigin="8,8"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4" o:spid="_x0000_s1028" style="position:absolute;left:8;top:8;width:5040;height:2;visibility:visible;mso-wrap-style:square;v-text-anchor:top"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" path="m,l5040,e" filled="f" strokeweight=".26669mm">
                    <v:path arrowok="t" o:connecttype="custom" o:connectlocs="0,0;5040,0" o:connectangles="0,0"/>
                  </v:shape>
                </v:group>
                <w10:anchorlock/>
              </v:group>
            </w:pict>
          </mc:Fallback>
        </mc:AlternateContent>
      </w:r>
    </w:p>
    <w:p w14:paraId="1A2AE021" w14:textId="5830124A" w:rsidR="00363B18" w:rsidRDefault="00B73694" w:rsidP="00B52029">
      <w:pPr>
        <w:spacing w:line="262" w:lineRule="exact"/>
        <w:ind w:left="4320"/>
        <w:rPr>
          <w:b/>
          <w:spacing w:val="-1"/>
        </w:rPr>
      </w:pPr>
      <w:r>
        <w:rPr>
          <w:b/>
          <w:spacing w:val="-1"/>
        </w:rPr>
        <w:t>LORI COBOS</w:t>
      </w:r>
      <w:r w:rsidR="00363B18">
        <w:rPr>
          <w:b/>
          <w:spacing w:val="-1"/>
        </w:rPr>
        <w:t>, COMMISSIONER</w:t>
      </w:r>
    </w:p>
    <w:p w14:paraId="63880EF0" w14:textId="5AF39593" w:rsidR="00B73694" w:rsidRDefault="00B73694" w:rsidP="00B52029">
      <w:pPr>
        <w:ind w:left="4320"/>
        <w:rPr>
          <w:rFonts w:eastAsia="Times New Roman"/>
          <w:b/>
          <w:bCs/>
          <w:sz w:val="20"/>
          <w:szCs w:val="20"/>
        </w:rPr>
      </w:pPr>
    </w:p>
    <w:p w14:paraId="75B20838" w14:textId="77777777" w:rsidR="00B73694" w:rsidRDefault="00B73694" w:rsidP="00B52029">
      <w:pPr>
        <w:ind w:left="4320"/>
        <w:rPr>
          <w:rFonts w:eastAsia="Times New Roman"/>
          <w:b/>
          <w:bCs/>
          <w:sz w:val="20"/>
          <w:szCs w:val="20"/>
        </w:rPr>
      </w:pPr>
    </w:p>
    <w:p w14:paraId="49F22FEC" w14:textId="77777777" w:rsidR="00B73694" w:rsidRDefault="00B73694" w:rsidP="00B52029">
      <w:pPr>
        <w:ind w:left="4320"/>
        <w:rPr>
          <w:rFonts w:eastAsia="Times New Roman"/>
          <w:b/>
          <w:bCs/>
          <w:sz w:val="20"/>
          <w:szCs w:val="20"/>
        </w:rPr>
      </w:pPr>
    </w:p>
    <w:p w14:paraId="6B255A02" w14:textId="77777777" w:rsidR="00B73694" w:rsidRDefault="00B73694" w:rsidP="00B52029">
      <w:pPr>
        <w:spacing w:before="8"/>
        <w:ind w:left="4320"/>
        <w:rPr>
          <w:rFonts w:eastAsia="Times New Roman"/>
          <w:b/>
          <w:bCs/>
          <w:sz w:val="14"/>
          <w:szCs w:val="14"/>
        </w:rPr>
      </w:pPr>
    </w:p>
    <w:p w14:paraId="12FAE070" w14:textId="77777777" w:rsidR="00B73694" w:rsidRDefault="00B73694" w:rsidP="00B52029">
      <w:pPr>
        <w:spacing w:line="20" w:lineRule="atLeast"/>
        <w:ind w:left="4320"/>
        <w:rPr>
          <w:rFonts w:eastAsia="Times New Roman"/>
          <w:sz w:val="2"/>
          <w:szCs w:val="2"/>
        </w:rPr>
      </w:pPr>
      <w:r>
        <w:rPr>
          <w:rFonts w:eastAsia="Times New Roman"/>
          <w:noProof/>
          <w:sz w:val="2"/>
          <w:szCs w:val="2"/>
        </w:rPr>
        <mc:AlternateContent>
          <mc:Choice Requires="wpg">
            <w:drawing>
              <wp:inline distT="0" distB="0" distL="0" distR="0" wp14:anchorId="1C520966" wp14:editId="123F42F5">
                <wp:extent cx="3210560" cy="10160"/>
                <wp:effectExtent l="4445" t="6985" r="4445" b="190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0560" cy="10160"/>
                          <a:chOff x="0" y="0"/>
                          <a:chExt cx="5056" cy="16"/>
                        </a:xfrm>
                      </wpg:grpSpPr>
                      <wpg:grpSp>
                        <wpg:cNvPr id="30" name="Group 16"/>
                        <wpg:cNvGrpSpPr>
                          <a:grpSpLocks/>
                        </wpg:cNvGrpSpPr>
                        <wpg:grpSpPr bwMode="auto">
                          <a:xfrm>
                            <a:off x="8" y="8"/>
                            <a:ext cx="5040" cy="2"/>
                            <a:chOff x="8" y="8"/>
                            <a:chExt cx="5040" cy="2"/>
                          </a:xfrm>
                        </wpg:grpSpPr>
                        <wps:wsp>
                          <wps:cNvPr id="31" name="Freeform 17"/>
                          <wps:cNvSpPr>
                            <a:spLocks/>
                          </wps:cNvSpPr>
                          <wps:spPr bwMode="auto">
                            <a:xfrm>
                              <a:off x="8" y="8"/>
                              <a:ext cx="5040" cy="2"/>
                            </a:xfrm>
                            <a:custGeom>
                              <a:avLst/>
                              <a:gdLst>
                                <a:gd name="T0" fmla="+- 0 8 8"/>
                                <a:gd name="T1" fmla="*/ T0 w 5040"/>
                                <a:gd name="T2" fmla="+- 0 5048 8"/>
                                <a:gd name="T3" fmla="*/ T2 w 5040"/>
                              </a:gdLst>
                              <a:ahLst/>
                              <a:cxnLst>
                                <a:cxn ang="0">
                                  <a:pos x="T1" y="0"/>
                                </a:cxn>
                                <a:cxn ang="0">
                                  <a:pos x="T3" y="0"/>
                                </a:cxn>
                              </a:cxnLst>
                              <a:rect l="0" t="0" r="r" b="b"/>
                              <a:pathLst>
                                <a:path w="5040">
                                  <a:moveTo>
                                    <a:pt x="0" y="0"/>
                                  </a:moveTo>
                                  <a:lnTo>
                                    <a:pt x="504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9E5622" id="Group 29" o:spid="_x0000_s1026" style="width:252.8pt;height:.8pt;mso-position-horizontal-relative:char;mso-position-vertical-relative:line" coordsize="50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">
                <v:group id="Group 16" o:spid="_x0000_s1027" style="position:absolute;left:8;top:8;width:5040;height:2" coordorigin="8,8"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17" o:spid="_x0000_s1028" style="position:absolute;left:8;top:8;width:5040;height:2;visibility:visible;mso-wrap-style:square;v-text-anchor:top"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" path="m,l5040,e" filled="f" strokeweight=".26669mm">
                    <v:path arrowok="t" o:connecttype="custom" o:connectlocs="0,0;5040,0" o:connectangles="0,0"/>
                  </v:shape>
                </v:group>
                <w10:anchorlock/>
              </v:group>
            </w:pict>
          </mc:Fallback>
        </mc:AlternateContent>
      </w:r>
    </w:p>
    <w:p w14:paraId="3D80D6C5" w14:textId="20A96327" w:rsidR="00B73694" w:rsidRDefault="00B73694" w:rsidP="00B52029">
      <w:pPr>
        <w:spacing w:line="262" w:lineRule="exact"/>
        <w:ind w:left="4320"/>
        <w:rPr>
          <w:rFonts w:eastAsia="Times New Roman"/>
        </w:rPr>
      </w:pPr>
      <w:r>
        <w:rPr>
          <w:rFonts w:eastAsia="Times New Roman"/>
          <w:b/>
          <w:bCs/>
          <w:spacing w:val="-1"/>
        </w:rPr>
        <w:t>JIMMY GLOTFELTY,</w:t>
      </w:r>
      <w:r>
        <w:rPr>
          <w:rFonts w:eastAsia="Times New Roman"/>
          <w:b/>
          <w:bCs/>
          <w:spacing w:val="1"/>
        </w:rPr>
        <w:t xml:space="preserve"> </w:t>
      </w:r>
      <w:r>
        <w:rPr>
          <w:rFonts w:eastAsia="Times New Roman"/>
          <w:b/>
          <w:bCs/>
          <w:spacing w:val="-1"/>
        </w:rPr>
        <w:t>COMMISSIONER</w:t>
      </w:r>
    </w:p>
    <w:p w14:paraId="5414A3B9" w14:textId="21CAC707" w:rsidR="00B73694" w:rsidRDefault="00B73694" w:rsidP="00B52029">
      <w:pPr>
        <w:ind w:left="4320"/>
        <w:rPr>
          <w:rFonts w:eastAsia="Times New Roman"/>
          <w:b/>
          <w:bCs/>
          <w:sz w:val="20"/>
          <w:szCs w:val="20"/>
        </w:rPr>
      </w:pPr>
    </w:p>
    <w:p w14:paraId="36D9C9D2" w14:textId="77777777" w:rsidR="00B73694" w:rsidRDefault="00B73694" w:rsidP="00B52029">
      <w:pPr>
        <w:ind w:left="4320"/>
        <w:rPr>
          <w:rFonts w:eastAsia="Times New Roman"/>
          <w:b/>
          <w:bCs/>
          <w:sz w:val="20"/>
          <w:szCs w:val="20"/>
        </w:rPr>
      </w:pPr>
    </w:p>
    <w:p w14:paraId="5C20606B" w14:textId="77777777" w:rsidR="00B73694" w:rsidRDefault="00B73694" w:rsidP="00B52029">
      <w:pPr>
        <w:ind w:left="4320"/>
        <w:rPr>
          <w:rFonts w:eastAsia="Times New Roman"/>
          <w:b/>
          <w:bCs/>
          <w:sz w:val="20"/>
          <w:szCs w:val="20"/>
        </w:rPr>
      </w:pPr>
    </w:p>
    <w:p w14:paraId="611FCE9F" w14:textId="77777777" w:rsidR="00B73694" w:rsidRDefault="00B73694" w:rsidP="00B52029">
      <w:pPr>
        <w:spacing w:before="8"/>
        <w:ind w:left="4320"/>
        <w:rPr>
          <w:rFonts w:eastAsia="Times New Roman"/>
          <w:b/>
          <w:bCs/>
          <w:sz w:val="14"/>
          <w:szCs w:val="14"/>
        </w:rPr>
      </w:pPr>
    </w:p>
    <w:p w14:paraId="1C469D3B" w14:textId="77777777" w:rsidR="00B73694" w:rsidRDefault="00B73694" w:rsidP="00B52029">
      <w:pPr>
        <w:spacing w:line="20" w:lineRule="atLeast"/>
        <w:ind w:left="4320"/>
        <w:rPr>
          <w:rFonts w:eastAsia="Times New Roman"/>
          <w:sz w:val="2"/>
          <w:szCs w:val="2"/>
        </w:rPr>
      </w:pPr>
      <w:r>
        <w:rPr>
          <w:rFonts w:eastAsia="Times New Roman"/>
          <w:noProof/>
          <w:sz w:val="2"/>
          <w:szCs w:val="2"/>
        </w:rPr>
        <mc:AlternateContent>
          <mc:Choice Requires="wpg">
            <w:drawing>
              <wp:inline distT="0" distB="0" distL="0" distR="0" wp14:anchorId="1FF86DA0" wp14:editId="18924495">
                <wp:extent cx="3210560" cy="10160"/>
                <wp:effectExtent l="4445" t="7620" r="4445" b="127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0560" cy="10160"/>
                          <a:chOff x="0" y="0"/>
                          <a:chExt cx="5056" cy="16"/>
                        </a:xfrm>
                      </wpg:grpSpPr>
                      <wpg:grpSp>
                        <wpg:cNvPr id="33" name="Group 13"/>
                        <wpg:cNvGrpSpPr>
                          <a:grpSpLocks/>
                        </wpg:cNvGrpSpPr>
                        <wpg:grpSpPr bwMode="auto">
                          <a:xfrm>
                            <a:off x="8" y="8"/>
                            <a:ext cx="5040" cy="2"/>
                            <a:chOff x="8" y="8"/>
                            <a:chExt cx="5040" cy="2"/>
                          </a:xfrm>
                        </wpg:grpSpPr>
                        <wps:wsp>
                          <wps:cNvPr id="34" name="Freeform 14"/>
                          <wps:cNvSpPr>
                            <a:spLocks/>
                          </wps:cNvSpPr>
                          <wps:spPr bwMode="auto">
                            <a:xfrm>
                              <a:off x="8" y="8"/>
                              <a:ext cx="5040" cy="2"/>
                            </a:xfrm>
                            <a:custGeom>
                              <a:avLst/>
                              <a:gdLst>
                                <a:gd name="T0" fmla="+- 0 8 8"/>
                                <a:gd name="T1" fmla="*/ T0 w 5040"/>
                                <a:gd name="T2" fmla="+- 0 5048 8"/>
                                <a:gd name="T3" fmla="*/ T2 w 5040"/>
                              </a:gdLst>
                              <a:ahLst/>
                              <a:cxnLst>
                                <a:cxn ang="0">
                                  <a:pos x="T1" y="0"/>
                                </a:cxn>
                                <a:cxn ang="0">
                                  <a:pos x="T3" y="0"/>
                                </a:cxn>
                              </a:cxnLst>
                              <a:rect l="0" t="0" r="r" b="b"/>
                              <a:pathLst>
                                <a:path w="5040">
                                  <a:moveTo>
                                    <a:pt x="0" y="0"/>
                                  </a:moveTo>
                                  <a:lnTo>
                                    <a:pt x="504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A20CA2A" id="Group 32" o:spid="_x0000_s1026" style="width:252.8pt;height:.8pt;mso-position-horizontal-relative:char;mso-position-vertical-relative:line" coordsize="50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">
                <v:group id="Group 13" o:spid="_x0000_s1027" style="position:absolute;left:8;top:8;width:5040;height:2" coordorigin="8,8"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14" o:spid="_x0000_s1028" style="position:absolute;left:8;top:8;width:5040;height:2;visibility:visible;mso-wrap-style:square;v-text-anchor:top" coordsize="50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" path="m,l5040,e" filled="f" strokeweight=".26669mm">
                    <v:path arrowok="t" o:connecttype="custom" o:connectlocs="0,0;5040,0" o:connectangles="0,0"/>
                  </v:shape>
                </v:group>
                <w10:anchorlock/>
              </v:group>
            </w:pict>
          </mc:Fallback>
        </mc:AlternateContent>
      </w:r>
    </w:p>
    <w:p w14:paraId="5C0A9063" w14:textId="46EE0452" w:rsidR="00B73694" w:rsidRDefault="00B73694" w:rsidP="00B52029">
      <w:pPr>
        <w:spacing w:line="262" w:lineRule="exact"/>
        <w:ind w:left="4320"/>
        <w:rPr>
          <w:rFonts w:eastAsia="Times New Roman"/>
        </w:rPr>
      </w:pPr>
      <w:r>
        <w:rPr>
          <w:b/>
          <w:spacing w:val="-1"/>
        </w:rPr>
        <w:t>KATHLEEN JACKSON, COMMISSIONER</w:t>
      </w:r>
    </w:p>
    <w:p w14:paraId="65B02A42" w14:textId="77777777" w:rsidR="00B73694" w:rsidRDefault="00B73694" w:rsidP="0086611A">
      <w:pPr>
        <w:spacing w:line="262" w:lineRule="exact"/>
        <w:rPr>
          <w:rFonts w:eastAsia="Times New Roman"/>
        </w:rPr>
      </w:pPr>
    </w:p>
    <w:p w14:paraId="386CE263" w14:textId="0215F6A7" w:rsidR="00363B18" w:rsidRDefault="00363B18" w:rsidP="0086611A">
      <w:pPr>
        <w:pStyle w:val="BodyText"/>
        <w:tabs>
          <w:tab w:val="left" w:pos="840"/>
        </w:tabs>
        <w:spacing w:line="360" w:lineRule="auto"/>
        <w:ind w:left="0" w:firstLine="0"/>
        <w:jc w:val="both"/>
      </w:pPr>
    </w:p>
    <w:sectPr w:rsidR="00363B1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C27F5" w14:textId="77777777" w:rsidR="000414FB" w:rsidRDefault="000414FB" w:rsidP="001B25E3">
      <w:r>
        <w:separator/>
      </w:r>
    </w:p>
  </w:endnote>
  <w:endnote w:type="continuationSeparator" w:id="0">
    <w:p w14:paraId="0958F088" w14:textId="77777777" w:rsidR="000414FB" w:rsidRDefault="000414FB" w:rsidP="001B25E3">
      <w:r>
        <w:continuationSeparator/>
      </w:r>
    </w:p>
  </w:endnote>
  <w:endnote w:type="continuationNotice" w:id="1">
    <w:p w14:paraId="6E520DBB" w14:textId="77777777" w:rsidR="000414FB" w:rsidRDefault="0004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0AF12" w14:textId="77777777" w:rsidR="006F35F7" w:rsidRDefault="006F35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33696"/>
      <w:docPartObj>
        <w:docPartGallery w:val="Page Numbers (Bottom of Page)"/>
        <w:docPartUnique/>
      </w:docPartObj>
    </w:sdtPr>
    <w:sdtEndPr>
      <w:rPr>
        <w:noProof/>
      </w:rPr>
    </w:sdtEndPr>
    <w:sdtContent>
      <w:p w14:paraId="2D07F176" w14:textId="13DC5A2B" w:rsidR="0011625A" w:rsidRDefault="00B62A74">
        <w:pPr>
          <w:pStyle w:val="Footer"/>
          <w:jc w:val="center"/>
        </w:pPr>
        <w:r>
          <w:fldChar w:fldCharType="begin"/>
        </w:r>
        <w:r>
          <w:instrText xml:space="preserve"> PAGE   \* MERGEFORMAT </w:instrText>
        </w:r>
        <w:r>
          <w:fldChar w:fldCharType="separate"/>
        </w:r>
        <w:r w:rsidR="0041750F">
          <w:rPr>
            <w:noProof/>
          </w:rPr>
          <w:t>12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52B05" w14:textId="77777777" w:rsidR="006F35F7" w:rsidRDefault="006F35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39405" w14:textId="77777777" w:rsidR="000414FB" w:rsidRDefault="000414FB" w:rsidP="001B25E3">
      <w:r>
        <w:separator/>
      </w:r>
    </w:p>
  </w:footnote>
  <w:footnote w:type="continuationSeparator" w:id="0">
    <w:p w14:paraId="400D4501" w14:textId="77777777" w:rsidR="000414FB" w:rsidRDefault="000414FB" w:rsidP="001B25E3">
      <w:r>
        <w:continuationSeparator/>
      </w:r>
    </w:p>
  </w:footnote>
  <w:footnote w:type="continuationNotice" w:id="1">
    <w:p w14:paraId="6D9FCFC5" w14:textId="77777777" w:rsidR="000414FB" w:rsidRDefault="000414FB"/>
  </w:footnote>
  <w:footnote w:id="2">
    <w:p w14:paraId="2A995770" w14:textId="77777777" w:rsidR="008658D7" w:rsidRDefault="008658D7" w:rsidP="00BD2E95">
      <w:pPr>
        <w:pStyle w:val="FootnoteText"/>
        <w:jc w:val="both"/>
      </w:pPr>
      <w:r>
        <w:rPr>
          <w:rStyle w:val="FootnoteReference"/>
        </w:rPr>
        <w:footnoteRef/>
      </w:r>
      <w:r>
        <w:t>  </w:t>
      </w:r>
      <w:r>
        <w:rPr>
          <w:i/>
        </w:rPr>
        <w:t>Rulemaking</w:t>
      </w:r>
      <w:r>
        <w:rPr>
          <w:i/>
          <w:spacing w:val="31"/>
        </w:rPr>
        <w:t xml:space="preserve"> </w:t>
      </w:r>
      <w:r>
        <w:rPr>
          <w:i/>
        </w:rPr>
        <w:t>Proceeding</w:t>
      </w:r>
      <w:r>
        <w:rPr>
          <w:i/>
          <w:spacing w:val="42"/>
        </w:rPr>
        <w:t xml:space="preserve"> </w:t>
      </w:r>
      <w:r>
        <w:rPr>
          <w:i/>
        </w:rPr>
        <w:t>to</w:t>
      </w:r>
      <w:r>
        <w:rPr>
          <w:i/>
          <w:spacing w:val="6"/>
        </w:rPr>
        <w:t xml:space="preserve"> </w:t>
      </w:r>
      <w:r>
        <w:rPr>
          <w:i/>
        </w:rPr>
        <w:t>Amend</w:t>
      </w:r>
      <w:r>
        <w:rPr>
          <w:i/>
          <w:spacing w:val="34"/>
        </w:rPr>
        <w:t xml:space="preserve"> </w:t>
      </w:r>
      <w:r>
        <w:rPr>
          <w:i/>
        </w:rPr>
        <w:t>PUC</w:t>
      </w:r>
      <w:r>
        <w:rPr>
          <w:i/>
          <w:spacing w:val="25"/>
        </w:rPr>
        <w:t xml:space="preserve"> </w:t>
      </w:r>
      <w:r>
        <w:rPr>
          <w:i/>
        </w:rPr>
        <w:t>Subst.</w:t>
      </w:r>
      <w:r>
        <w:rPr>
          <w:i/>
          <w:spacing w:val="15"/>
        </w:rPr>
        <w:t xml:space="preserve"> </w:t>
      </w:r>
      <w:r>
        <w:rPr>
          <w:i/>
        </w:rPr>
        <w:t>R.</w:t>
      </w:r>
      <w:r>
        <w:rPr>
          <w:i/>
          <w:spacing w:val="19"/>
        </w:rPr>
        <w:t xml:space="preserve"> </w:t>
      </w:r>
      <w:r>
        <w:rPr>
          <w:i/>
        </w:rPr>
        <w:t>25.236</w:t>
      </w:r>
      <w:r>
        <w:rPr>
          <w:i/>
          <w:spacing w:val="20"/>
        </w:rPr>
        <w:t xml:space="preserve"> </w:t>
      </w:r>
      <w:r>
        <w:rPr>
          <w:i/>
        </w:rPr>
        <w:t>Relating</w:t>
      </w:r>
      <w:r>
        <w:rPr>
          <w:i/>
          <w:spacing w:val="41"/>
        </w:rPr>
        <w:t xml:space="preserve"> </w:t>
      </w:r>
      <w:r>
        <w:rPr>
          <w:i/>
        </w:rPr>
        <w:t>to</w:t>
      </w:r>
      <w:r>
        <w:rPr>
          <w:i/>
          <w:spacing w:val="10"/>
        </w:rPr>
        <w:t xml:space="preserve"> </w:t>
      </w:r>
      <w:r>
        <w:rPr>
          <w:i/>
        </w:rPr>
        <w:t>Recovery</w:t>
      </w:r>
      <w:r>
        <w:rPr>
          <w:i/>
          <w:spacing w:val="36"/>
        </w:rPr>
        <w:t xml:space="preserve"> </w:t>
      </w:r>
      <w:r>
        <w:rPr>
          <w:i/>
        </w:rPr>
        <w:t>of</w:t>
      </w:r>
      <w:r>
        <w:rPr>
          <w:i/>
          <w:spacing w:val="10"/>
        </w:rPr>
        <w:t xml:space="preserve"> </w:t>
      </w:r>
      <w:r>
        <w:rPr>
          <w:i/>
        </w:rPr>
        <w:t>Fuel</w:t>
      </w:r>
      <w:r>
        <w:rPr>
          <w:i/>
          <w:spacing w:val="35"/>
        </w:rPr>
        <w:t xml:space="preserve"> </w:t>
      </w:r>
      <w:r>
        <w:rPr>
          <w:i/>
        </w:rPr>
        <w:t>Costs,</w:t>
      </w:r>
      <w:r>
        <w:rPr>
          <w:i/>
          <w:spacing w:val="2"/>
        </w:rPr>
        <w:t xml:space="preserve"> </w:t>
      </w:r>
      <w:r>
        <w:t>Project</w:t>
      </w:r>
      <w:r>
        <w:rPr>
          <w:w w:val="102"/>
        </w:rPr>
        <w:t xml:space="preserve"> </w:t>
      </w:r>
      <w:r>
        <w:t>No.</w:t>
      </w:r>
      <w:r>
        <w:rPr>
          <w:spacing w:val="23"/>
        </w:rPr>
        <w:t xml:space="preserve"> </w:t>
      </w:r>
      <w:r>
        <w:t>41905,</w:t>
      </w:r>
      <w:r>
        <w:rPr>
          <w:spacing w:val="29"/>
        </w:rPr>
        <w:t xml:space="preserve"> </w:t>
      </w:r>
      <w:r>
        <w:t>Order</w:t>
      </w:r>
      <w:r>
        <w:rPr>
          <w:spacing w:val="7"/>
        </w:rPr>
        <w:t xml:space="preserve"> </w:t>
      </w:r>
      <w:r>
        <w:t>Adopting</w:t>
      </w:r>
      <w:r>
        <w:rPr>
          <w:spacing w:val="27"/>
        </w:rPr>
        <w:t xml:space="preserve"> </w:t>
      </w:r>
      <w:r>
        <w:t>Amendments</w:t>
      </w:r>
      <w:r>
        <w:rPr>
          <w:spacing w:val="38"/>
        </w:rPr>
        <w:t xml:space="preserve"> </w:t>
      </w:r>
      <w:r>
        <w:t>to</w:t>
      </w:r>
      <w:r>
        <w:rPr>
          <w:spacing w:val="31"/>
        </w:rPr>
        <w:t xml:space="preserve"> </w:t>
      </w:r>
      <w:r>
        <w:t>§ 25.236</w:t>
      </w:r>
      <w:r>
        <w:rPr>
          <w:spacing w:val="15"/>
        </w:rPr>
        <w:t xml:space="preserve"> </w:t>
      </w:r>
      <w:r>
        <w:t>as</w:t>
      </w:r>
      <w:r>
        <w:rPr>
          <w:spacing w:val="1"/>
        </w:rPr>
        <w:t xml:space="preserve"> </w:t>
      </w:r>
      <w:r>
        <w:t>Approved</w:t>
      </w:r>
      <w:r>
        <w:rPr>
          <w:spacing w:val="37"/>
        </w:rPr>
        <w:t xml:space="preserve"> </w:t>
      </w:r>
      <w:r>
        <w:t>at</w:t>
      </w:r>
      <w:r>
        <w:rPr>
          <w:spacing w:val="10"/>
        </w:rPr>
        <w:t xml:space="preserve"> </w:t>
      </w:r>
      <w:r>
        <w:t>the</w:t>
      </w:r>
      <w:r>
        <w:rPr>
          <w:spacing w:val="13"/>
        </w:rPr>
        <w:t xml:space="preserve"> </w:t>
      </w:r>
      <w:r>
        <w:t>May</w:t>
      </w:r>
      <w:r>
        <w:rPr>
          <w:spacing w:val="39"/>
        </w:rPr>
        <w:t xml:space="preserve"> </w:t>
      </w:r>
      <w:r>
        <w:t>16,</w:t>
      </w:r>
      <w:r>
        <w:rPr>
          <w:spacing w:val="-9"/>
        </w:rPr>
        <w:t xml:space="preserve"> </w:t>
      </w:r>
      <w:r>
        <w:t>2014</w:t>
      </w:r>
      <w:r>
        <w:rPr>
          <w:spacing w:val="18"/>
        </w:rPr>
        <w:t xml:space="preserve"> </w:t>
      </w:r>
      <w:r>
        <w:t>Open</w:t>
      </w:r>
      <w:r>
        <w:rPr>
          <w:spacing w:val="6"/>
        </w:rPr>
        <w:t xml:space="preserve"> </w:t>
      </w:r>
      <w:r>
        <w:t>Meeting</w:t>
      </w:r>
      <w:r>
        <w:rPr>
          <w:spacing w:val="27"/>
        </w:rPr>
        <w:t xml:space="preserve"> </w:t>
      </w:r>
      <w:r>
        <w:t>at</w:t>
      </w:r>
      <w:r>
        <w:rPr>
          <w:spacing w:val="17"/>
        </w:rPr>
        <w:t xml:space="preserve"> </w:t>
      </w:r>
      <w:r>
        <w:t>23</w:t>
      </w:r>
      <w:r>
        <w:rPr>
          <w:spacing w:val="16"/>
        </w:rPr>
        <w:t xml:space="preserve"> </w:t>
      </w:r>
      <w:r>
        <w:t>(May</w:t>
      </w:r>
      <w:r>
        <w:rPr>
          <w:spacing w:val="8"/>
        </w:rPr>
        <w:t xml:space="preserve"> </w:t>
      </w:r>
      <w:r>
        <w:t>29,</w:t>
      </w:r>
      <w:r>
        <w:rPr>
          <w:w w:val="103"/>
        </w:rPr>
        <w:t xml:space="preserve"> </w:t>
      </w:r>
      <w:r>
        <w:t>2014).</w:t>
      </w:r>
    </w:p>
  </w:footnote>
  <w:footnote w:id="3">
    <w:p w14:paraId="57BC2912" w14:textId="77777777" w:rsidR="008658D7" w:rsidRPr="00A9183F" w:rsidRDefault="008658D7" w:rsidP="00BD2E95">
      <w:pPr>
        <w:pStyle w:val="FootnoteText"/>
        <w:jc w:val="both"/>
      </w:pPr>
      <w:r>
        <w:rPr>
          <w:rStyle w:val="FootnoteReference"/>
        </w:rPr>
        <w:footnoteRef/>
      </w:r>
      <w:r>
        <w:t>  </w:t>
      </w:r>
      <w:r w:rsidRPr="00A9183F">
        <w:rPr>
          <w:w w:val="105"/>
        </w:rPr>
        <w:t>Public</w:t>
      </w:r>
      <w:r w:rsidRPr="00A9183F">
        <w:rPr>
          <w:spacing w:val="-4"/>
          <w:w w:val="105"/>
        </w:rPr>
        <w:t xml:space="preserve"> </w:t>
      </w:r>
      <w:r w:rsidRPr="00A9183F">
        <w:rPr>
          <w:w w:val="105"/>
        </w:rPr>
        <w:t>Utility</w:t>
      </w:r>
      <w:r w:rsidRPr="00A9183F">
        <w:rPr>
          <w:spacing w:val="-1"/>
          <w:w w:val="105"/>
        </w:rPr>
        <w:t xml:space="preserve"> </w:t>
      </w:r>
      <w:r w:rsidRPr="00A9183F">
        <w:rPr>
          <w:w w:val="105"/>
        </w:rPr>
        <w:t>Regulatory</w:t>
      </w:r>
      <w:r w:rsidRPr="00A9183F">
        <w:rPr>
          <w:spacing w:val="5"/>
          <w:w w:val="105"/>
        </w:rPr>
        <w:t xml:space="preserve"> </w:t>
      </w:r>
      <w:r w:rsidRPr="00A9183F">
        <w:rPr>
          <w:w w:val="105"/>
        </w:rPr>
        <w:t>Act,</w:t>
      </w:r>
      <w:r w:rsidRPr="00A9183F">
        <w:rPr>
          <w:spacing w:val="3"/>
          <w:w w:val="105"/>
        </w:rPr>
        <w:t xml:space="preserve"> </w:t>
      </w:r>
      <w:r w:rsidRPr="00A9183F">
        <w:rPr>
          <w:w w:val="105"/>
        </w:rPr>
        <w:t>Tex.</w:t>
      </w:r>
      <w:r w:rsidRPr="00A9183F">
        <w:rPr>
          <w:spacing w:val="-11"/>
          <w:w w:val="105"/>
        </w:rPr>
        <w:t xml:space="preserve"> </w:t>
      </w:r>
      <w:r w:rsidRPr="00A9183F">
        <w:rPr>
          <w:w w:val="105"/>
        </w:rPr>
        <w:t>Util.</w:t>
      </w:r>
      <w:r w:rsidRPr="00A9183F">
        <w:rPr>
          <w:spacing w:val="8"/>
          <w:w w:val="105"/>
        </w:rPr>
        <w:t xml:space="preserve"> </w:t>
      </w:r>
      <w:r w:rsidRPr="00A9183F">
        <w:rPr>
          <w:w w:val="105"/>
        </w:rPr>
        <w:t>Code</w:t>
      </w:r>
      <w:r w:rsidRPr="00A9183F">
        <w:rPr>
          <w:spacing w:val="5"/>
          <w:w w:val="105"/>
        </w:rPr>
        <w:t xml:space="preserve"> </w:t>
      </w:r>
      <w:r w:rsidRPr="00A9183F">
        <w:rPr>
          <w:w w:val="105"/>
        </w:rPr>
        <w:t>§§</w:t>
      </w:r>
      <w:r w:rsidRPr="00A9183F">
        <w:rPr>
          <w:spacing w:val="8"/>
          <w:w w:val="105"/>
        </w:rPr>
        <w:t xml:space="preserve"> </w:t>
      </w:r>
      <w:r w:rsidRPr="00A9183F">
        <w:rPr>
          <w:spacing w:val="-1"/>
          <w:w w:val="105"/>
        </w:rPr>
        <w:t>11.001-66.016</w:t>
      </w:r>
      <w:r w:rsidRPr="00A9183F">
        <w:rPr>
          <w:w w:val="105"/>
        </w:rPr>
        <w:t xml:space="preserve"> (PURA).</w:t>
      </w:r>
    </w:p>
  </w:footnote>
  <w:footnote w:id="4">
    <w:p w14:paraId="68807905" w14:textId="77777777" w:rsidR="008658D7" w:rsidRPr="00A9183F" w:rsidRDefault="008658D7" w:rsidP="00BD2E95">
      <w:pPr>
        <w:pStyle w:val="FootnoteText"/>
        <w:jc w:val="both"/>
      </w:pPr>
      <w:r>
        <w:rPr>
          <w:rStyle w:val="FootnoteReference"/>
        </w:rPr>
        <w:footnoteRef/>
      </w:r>
      <w:r>
        <w:t>  </w:t>
      </w:r>
      <w:r w:rsidRPr="00A9183F">
        <w:rPr>
          <w:i/>
        </w:rPr>
        <w:t>Application</w:t>
      </w:r>
      <w:r w:rsidRPr="00A9183F">
        <w:rPr>
          <w:i/>
          <w:spacing w:val="16"/>
        </w:rPr>
        <w:t xml:space="preserve"> </w:t>
      </w:r>
      <w:r w:rsidRPr="00A9183F">
        <w:rPr>
          <w:i/>
        </w:rPr>
        <w:t>of</w:t>
      </w:r>
      <w:r w:rsidRPr="00A9183F">
        <w:rPr>
          <w:i/>
          <w:spacing w:val="31"/>
        </w:rPr>
        <w:t xml:space="preserve"> </w:t>
      </w:r>
      <w:r w:rsidRPr="00A9183F">
        <w:rPr>
          <w:i/>
        </w:rPr>
        <w:t>Entergy</w:t>
      </w:r>
      <w:r w:rsidRPr="00A9183F">
        <w:rPr>
          <w:i/>
          <w:spacing w:val="15"/>
        </w:rPr>
        <w:t xml:space="preserve"> </w:t>
      </w:r>
      <w:r w:rsidRPr="00A9183F">
        <w:rPr>
          <w:i/>
        </w:rPr>
        <w:t>Texas</w:t>
      </w:r>
      <w:r w:rsidRPr="00A9183F">
        <w:rPr>
          <w:i/>
          <w:spacing w:val="21"/>
        </w:rPr>
        <w:t xml:space="preserve"> </w:t>
      </w:r>
      <w:r w:rsidRPr="00A9183F">
        <w:rPr>
          <w:i/>
        </w:rPr>
        <w:t>Inc.</w:t>
      </w:r>
      <w:r w:rsidRPr="00A9183F">
        <w:rPr>
          <w:i/>
          <w:spacing w:val="10"/>
        </w:rPr>
        <w:t xml:space="preserve"> </w:t>
      </w:r>
      <w:r w:rsidRPr="00A9183F">
        <w:rPr>
          <w:i/>
        </w:rPr>
        <w:t>for Waiver</w:t>
      </w:r>
      <w:r w:rsidRPr="00A9183F">
        <w:rPr>
          <w:i/>
          <w:spacing w:val="26"/>
        </w:rPr>
        <w:t xml:space="preserve"> </w:t>
      </w:r>
      <w:r w:rsidRPr="00A9183F">
        <w:rPr>
          <w:i/>
        </w:rPr>
        <w:t>of</w:t>
      </w:r>
      <w:r w:rsidRPr="00A9183F">
        <w:rPr>
          <w:i/>
          <w:spacing w:val="27"/>
        </w:rPr>
        <w:t xml:space="preserve"> </w:t>
      </w:r>
      <w:r w:rsidRPr="00A9183F">
        <w:rPr>
          <w:i/>
        </w:rPr>
        <w:t>Rate</w:t>
      </w:r>
      <w:r w:rsidRPr="00A9183F">
        <w:rPr>
          <w:i/>
          <w:spacing w:val="39"/>
        </w:rPr>
        <w:t xml:space="preserve"> </w:t>
      </w:r>
      <w:r w:rsidRPr="00A9183F">
        <w:rPr>
          <w:i/>
        </w:rPr>
        <w:t>Filing</w:t>
      </w:r>
      <w:r w:rsidRPr="00A9183F">
        <w:rPr>
          <w:i/>
          <w:spacing w:val="45"/>
        </w:rPr>
        <w:t xml:space="preserve"> </w:t>
      </w:r>
      <w:r w:rsidRPr="00A9183F">
        <w:rPr>
          <w:i/>
        </w:rPr>
        <w:t>Package</w:t>
      </w:r>
      <w:r w:rsidRPr="00A9183F">
        <w:rPr>
          <w:i/>
          <w:spacing w:val="49"/>
        </w:rPr>
        <w:t xml:space="preserve"> </w:t>
      </w:r>
      <w:r w:rsidRPr="00A9183F">
        <w:rPr>
          <w:i/>
        </w:rPr>
        <w:t>Schedule</w:t>
      </w:r>
      <w:r w:rsidRPr="00A9183F">
        <w:rPr>
          <w:i/>
          <w:spacing w:val="10"/>
        </w:rPr>
        <w:t xml:space="preserve"> </w:t>
      </w:r>
      <w:r w:rsidRPr="00A9183F">
        <w:t>S</w:t>
      </w:r>
      <w:r w:rsidRPr="00A9183F">
        <w:rPr>
          <w:i/>
        </w:rPr>
        <w:t>,</w:t>
      </w:r>
      <w:r w:rsidRPr="00A9183F">
        <w:rPr>
          <w:i/>
          <w:spacing w:val="22"/>
        </w:rPr>
        <w:t xml:space="preserve"> </w:t>
      </w:r>
      <w:r w:rsidRPr="00A9183F">
        <w:t>Docket</w:t>
      </w:r>
      <w:r w:rsidRPr="00A9183F">
        <w:rPr>
          <w:spacing w:val="17"/>
        </w:rPr>
        <w:t xml:space="preserve"> </w:t>
      </w:r>
      <w:r w:rsidRPr="00A9183F">
        <w:t>No.</w:t>
      </w:r>
      <w:r w:rsidRPr="00A9183F">
        <w:rPr>
          <w:spacing w:val="24"/>
        </w:rPr>
        <w:t xml:space="preserve"> </w:t>
      </w:r>
      <w:r>
        <w:t>52851</w:t>
      </w:r>
      <w:r w:rsidRPr="00A9183F">
        <w:t>,</w:t>
      </w:r>
      <w:r w:rsidRPr="00A9183F">
        <w:rPr>
          <w:spacing w:val="18"/>
        </w:rPr>
        <w:t xml:space="preserve"> </w:t>
      </w:r>
      <w:r>
        <w:t xml:space="preserve">Order </w:t>
      </w:r>
      <w:r w:rsidRPr="00A9183F">
        <w:t>(</w:t>
      </w:r>
      <w:r>
        <w:t>Apr</w:t>
      </w:r>
      <w:r w:rsidRPr="00A9183F">
        <w:t>.</w:t>
      </w:r>
      <w:r w:rsidRPr="00A9183F">
        <w:rPr>
          <w:spacing w:val="36"/>
        </w:rPr>
        <w:t xml:space="preserve"> </w:t>
      </w:r>
      <w:r>
        <w:t>21</w:t>
      </w:r>
      <w:r w:rsidRPr="00A9183F">
        <w:t>,</w:t>
      </w:r>
      <w:r w:rsidRPr="00A9183F">
        <w:rPr>
          <w:spacing w:val="-2"/>
        </w:rPr>
        <w:t xml:space="preserve"> </w:t>
      </w:r>
      <w:r>
        <w:t>2022</w:t>
      </w:r>
      <w:r w:rsidRPr="00A9183F">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FDEC" w14:textId="77777777" w:rsidR="006F35F7" w:rsidRDefault="006F3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1994" w14:textId="6A9E153E" w:rsidR="009D06DD" w:rsidRDefault="009D06DD" w:rsidP="00C01F92">
    <w:pPr>
      <w:pStyle w:val="Header"/>
      <w:jc w:val="right"/>
    </w:pPr>
    <w:r>
      <w:tab/>
    </w:r>
    <w:r w:rsidR="00631A2B">
      <w:t xml:space="preserve"> </w:t>
    </w:r>
    <w:r w:rsidR="00C01F92">
      <w:t>Stipulation – Attachment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80167" w14:textId="77777777" w:rsidR="006F35F7" w:rsidRDefault="006F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565CA"/>
    <w:multiLevelType w:val="hybridMultilevel"/>
    <w:tmpl w:val="6EEAA1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AA0348D"/>
    <w:multiLevelType w:val="hybridMultilevel"/>
    <w:tmpl w:val="BFCC9B6E"/>
    <w:lvl w:ilvl="0" w:tplc="384E8EDC">
      <w:start w:val="1"/>
      <w:numFmt w:val="decimal"/>
      <w:lvlText w:val="%1."/>
      <w:lvlJc w:val="left"/>
      <w:pPr>
        <w:ind w:left="3240" w:hanging="360"/>
      </w:pPr>
      <w:rPr>
        <w:rFonts w:ascii="Times New Roman" w:eastAsiaTheme="minorHAnsi" w:hAnsi="Times New Roman" w:cstheme="minorBidi"/>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1C2D1401"/>
    <w:multiLevelType w:val="hybridMultilevel"/>
    <w:tmpl w:val="6044AC04"/>
    <w:lvl w:ilvl="0" w:tplc="A008EE20">
      <w:start w:val="1"/>
      <w:numFmt w:val="decimal"/>
      <w:lvlText w:val="%1."/>
      <w:lvlJc w:val="left"/>
      <w:pPr>
        <w:ind w:left="820" w:hanging="720"/>
      </w:pPr>
      <w:rPr>
        <w:rFonts w:ascii="Times New Roman" w:eastAsia="Times New Roman" w:hAnsi="Times New Roman" w:hint="default"/>
        <w:sz w:val="24"/>
        <w:szCs w:val="24"/>
      </w:rPr>
    </w:lvl>
    <w:lvl w:ilvl="1" w:tplc="D000481C">
      <w:start w:val="1"/>
      <w:numFmt w:val="bullet"/>
      <w:lvlText w:val="•"/>
      <w:lvlJc w:val="left"/>
      <w:pPr>
        <w:ind w:left="1768" w:hanging="720"/>
      </w:pPr>
      <w:rPr>
        <w:rFonts w:hint="default"/>
      </w:rPr>
    </w:lvl>
    <w:lvl w:ilvl="2" w:tplc="B04CCB40">
      <w:start w:val="1"/>
      <w:numFmt w:val="bullet"/>
      <w:lvlText w:val="•"/>
      <w:lvlJc w:val="left"/>
      <w:pPr>
        <w:ind w:left="2716" w:hanging="720"/>
      </w:pPr>
      <w:rPr>
        <w:rFonts w:hint="default"/>
      </w:rPr>
    </w:lvl>
    <w:lvl w:ilvl="3" w:tplc="E53CC3EA">
      <w:start w:val="1"/>
      <w:numFmt w:val="bullet"/>
      <w:lvlText w:val="•"/>
      <w:lvlJc w:val="left"/>
      <w:pPr>
        <w:ind w:left="3664" w:hanging="720"/>
      </w:pPr>
      <w:rPr>
        <w:rFonts w:hint="default"/>
      </w:rPr>
    </w:lvl>
    <w:lvl w:ilvl="4" w:tplc="8D78CEA6">
      <w:start w:val="1"/>
      <w:numFmt w:val="bullet"/>
      <w:lvlText w:val="•"/>
      <w:lvlJc w:val="left"/>
      <w:pPr>
        <w:ind w:left="4612" w:hanging="720"/>
      </w:pPr>
      <w:rPr>
        <w:rFonts w:hint="default"/>
      </w:rPr>
    </w:lvl>
    <w:lvl w:ilvl="5" w:tplc="4E603402">
      <w:start w:val="1"/>
      <w:numFmt w:val="bullet"/>
      <w:lvlText w:val="•"/>
      <w:lvlJc w:val="left"/>
      <w:pPr>
        <w:ind w:left="5560" w:hanging="720"/>
      </w:pPr>
      <w:rPr>
        <w:rFonts w:hint="default"/>
      </w:rPr>
    </w:lvl>
    <w:lvl w:ilvl="6" w:tplc="B992BDD2">
      <w:start w:val="1"/>
      <w:numFmt w:val="bullet"/>
      <w:lvlText w:val="•"/>
      <w:lvlJc w:val="left"/>
      <w:pPr>
        <w:ind w:left="6508" w:hanging="720"/>
      </w:pPr>
      <w:rPr>
        <w:rFonts w:hint="default"/>
      </w:rPr>
    </w:lvl>
    <w:lvl w:ilvl="7" w:tplc="93EE7AD0">
      <w:start w:val="1"/>
      <w:numFmt w:val="bullet"/>
      <w:lvlText w:val="•"/>
      <w:lvlJc w:val="left"/>
      <w:pPr>
        <w:ind w:left="7456" w:hanging="720"/>
      </w:pPr>
      <w:rPr>
        <w:rFonts w:hint="default"/>
      </w:rPr>
    </w:lvl>
    <w:lvl w:ilvl="8" w:tplc="116EE6AC">
      <w:start w:val="1"/>
      <w:numFmt w:val="bullet"/>
      <w:lvlText w:val="•"/>
      <w:lvlJc w:val="left"/>
      <w:pPr>
        <w:ind w:left="8404" w:hanging="720"/>
      </w:pPr>
      <w:rPr>
        <w:rFonts w:hint="default"/>
      </w:rPr>
    </w:lvl>
  </w:abstractNum>
  <w:abstractNum w:abstractNumId="3" w15:restartNumberingAfterBreak="0">
    <w:nsid w:val="331C6928"/>
    <w:multiLevelType w:val="multilevel"/>
    <w:tmpl w:val="04090027"/>
    <w:lvl w:ilvl="0">
      <w:start w:val="1"/>
      <w:numFmt w:val="upperRoman"/>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3F2410E4"/>
    <w:multiLevelType w:val="hybridMultilevel"/>
    <w:tmpl w:val="E2DA4840"/>
    <w:lvl w:ilvl="0" w:tplc="377AC762">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19C84C8A">
      <w:start w:val="1"/>
      <w:numFmt w:val="decimal"/>
      <w:lvlText w:val="%3."/>
      <w:lvlJc w:val="right"/>
      <w:pPr>
        <w:ind w:left="3240" w:hanging="180"/>
      </w:pPr>
      <w:rPr>
        <w:rFonts w:ascii="Times New Roman" w:eastAsiaTheme="minorHAnsi" w:hAnsi="Times New Roman" w:cstheme="minorBidi"/>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433B7583"/>
    <w:multiLevelType w:val="hybridMultilevel"/>
    <w:tmpl w:val="D70EDBBA"/>
    <w:lvl w:ilvl="0" w:tplc="384E8EDC">
      <w:start w:val="1"/>
      <w:numFmt w:val="decimal"/>
      <w:lvlText w:val="%1."/>
      <w:lvlJc w:val="left"/>
      <w:pPr>
        <w:ind w:left="2520" w:hanging="360"/>
      </w:pPr>
      <w:rPr>
        <w:rFonts w:ascii="Times New Roman" w:eastAsiaTheme="minorHAnsi" w:hAnsi="Times New Roman" w:cstheme="min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47793C18"/>
    <w:multiLevelType w:val="multilevel"/>
    <w:tmpl w:val="24042FF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18C2D41"/>
    <w:multiLevelType w:val="hybridMultilevel"/>
    <w:tmpl w:val="8E00FFFA"/>
    <w:lvl w:ilvl="0" w:tplc="D124C928">
      <w:start w:val="1"/>
      <w:numFmt w:val="upperRoman"/>
      <w:lvlText w:val="%1."/>
      <w:lvlJc w:val="left"/>
      <w:pPr>
        <w:ind w:left="380" w:hanging="281"/>
        <w:jc w:val="right"/>
      </w:pPr>
      <w:rPr>
        <w:rFonts w:ascii="Times New Roman" w:eastAsia="Times New Roman" w:hAnsi="Times New Roman" w:hint="default"/>
        <w:b/>
        <w:bCs/>
        <w:sz w:val="24"/>
        <w:szCs w:val="24"/>
      </w:rPr>
    </w:lvl>
    <w:lvl w:ilvl="1" w:tplc="B194157C">
      <w:start w:val="1"/>
      <w:numFmt w:val="bullet"/>
      <w:lvlText w:val="•"/>
      <w:lvlJc w:val="left"/>
      <w:pPr>
        <w:ind w:left="993" w:hanging="281"/>
      </w:pPr>
      <w:rPr>
        <w:rFonts w:hint="default"/>
      </w:rPr>
    </w:lvl>
    <w:lvl w:ilvl="2" w:tplc="80BAF9DE">
      <w:start w:val="1"/>
      <w:numFmt w:val="bullet"/>
      <w:lvlText w:val="•"/>
      <w:lvlJc w:val="left"/>
      <w:pPr>
        <w:ind w:left="1605" w:hanging="281"/>
      </w:pPr>
      <w:rPr>
        <w:rFonts w:hint="default"/>
      </w:rPr>
    </w:lvl>
    <w:lvl w:ilvl="3" w:tplc="8646C814">
      <w:start w:val="1"/>
      <w:numFmt w:val="bullet"/>
      <w:lvlText w:val="•"/>
      <w:lvlJc w:val="left"/>
      <w:pPr>
        <w:ind w:left="2218" w:hanging="281"/>
      </w:pPr>
      <w:rPr>
        <w:rFonts w:hint="default"/>
      </w:rPr>
    </w:lvl>
    <w:lvl w:ilvl="4" w:tplc="37E0F546">
      <w:start w:val="1"/>
      <w:numFmt w:val="bullet"/>
      <w:lvlText w:val="•"/>
      <w:lvlJc w:val="left"/>
      <w:pPr>
        <w:ind w:left="2830" w:hanging="281"/>
      </w:pPr>
      <w:rPr>
        <w:rFonts w:hint="default"/>
      </w:rPr>
    </w:lvl>
    <w:lvl w:ilvl="5" w:tplc="494EBF66">
      <w:start w:val="1"/>
      <w:numFmt w:val="bullet"/>
      <w:lvlText w:val="•"/>
      <w:lvlJc w:val="left"/>
      <w:pPr>
        <w:ind w:left="3443" w:hanging="281"/>
      </w:pPr>
      <w:rPr>
        <w:rFonts w:hint="default"/>
      </w:rPr>
    </w:lvl>
    <w:lvl w:ilvl="6" w:tplc="52F281B0">
      <w:start w:val="1"/>
      <w:numFmt w:val="bullet"/>
      <w:lvlText w:val="•"/>
      <w:lvlJc w:val="left"/>
      <w:pPr>
        <w:ind w:left="4055" w:hanging="281"/>
      </w:pPr>
      <w:rPr>
        <w:rFonts w:hint="default"/>
      </w:rPr>
    </w:lvl>
    <w:lvl w:ilvl="7" w:tplc="A55E9B1E">
      <w:start w:val="1"/>
      <w:numFmt w:val="bullet"/>
      <w:lvlText w:val="•"/>
      <w:lvlJc w:val="left"/>
      <w:pPr>
        <w:ind w:left="4668" w:hanging="281"/>
      </w:pPr>
      <w:rPr>
        <w:rFonts w:hint="default"/>
      </w:rPr>
    </w:lvl>
    <w:lvl w:ilvl="8" w:tplc="51D243EE">
      <w:start w:val="1"/>
      <w:numFmt w:val="bullet"/>
      <w:lvlText w:val="•"/>
      <w:lvlJc w:val="left"/>
      <w:pPr>
        <w:ind w:left="5280" w:hanging="281"/>
      </w:pPr>
      <w:rPr>
        <w:rFonts w:hint="default"/>
      </w:rPr>
    </w:lvl>
  </w:abstractNum>
  <w:abstractNum w:abstractNumId="8" w15:restartNumberingAfterBreak="0">
    <w:nsid w:val="6649532C"/>
    <w:multiLevelType w:val="hybridMultilevel"/>
    <w:tmpl w:val="428077F2"/>
    <w:lvl w:ilvl="0" w:tplc="E3F81E5E">
      <w:start w:val="1"/>
      <w:numFmt w:val="decimal"/>
      <w:lvlText w:val="%1."/>
      <w:lvlJc w:val="left"/>
      <w:pPr>
        <w:ind w:left="2880" w:hanging="360"/>
      </w:pPr>
      <w:rPr>
        <w:rFonts w:ascii="Times New Roman" w:eastAsiaTheme="minorHAnsi" w:hAnsi="Times New Roman" w:cstheme="minorBidi"/>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71036321"/>
    <w:multiLevelType w:val="hybridMultilevel"/>
    <w:tmpl w:val="8814EE0A"/>
    <w:lvl w:ilvl="0" w:tplc="8C481AA6">
      <w:start w:val="1"/>
      <w:numFmt w:val="upperRoman"/>
      <w:pStyle w:val="Heading1"/>
      <w:lvlText w:val="%1."/>
      <w:lvlJc w:val="left"/>
      <w:pPr>
        <w:ind w:left="720" w:hanging="360"/>
      </w:pPr>
      <w:rPr>
        <w:rFonts w:ascii="Times New Roman" w:hAnsi="Times New Roman" w:hint="default"/>
        <w:b/>
        <w:sz w:val="24"/>
      </w:rPr>
    </w:lvl>
    <w:lvl w:ilvl="1" w:tplc="09682104" w:tentative="1">
      <w:start w:val="1"/>
      <w:numFmt w:val="lowerLetter"/>
      <w:lvlText w:val="%2."/>
      <w:lvlJc w:val="left"/>
      <w:pPr>
        <w:ind w:left="1440" w:hanging="360"/>
      </w:pPr>
    </w:lvl>
    <w:lvl w:ilvl="2" w:tplc="DB24887C" w:tentative="1">
      <w:start w:val="1"/>
      <w:numFmt w:val="lowerRoman"/>
      <w:lvlText w:val="%3."/>
      <w:lvlJc w:val="right"/>
      <w:pPr>
        <w:ind w:left="2160" w:hanging="180"/>
      </w:pPr>
    </w:lvl>
    <w:lvl w:ilvl="3" w:tplc="97807870" w:tentative="1">
      <w:start w:val="1"/>
      <w:numFmt w:val="decimal"/>
      <w:lvlText w:val="%4."/>
      <w:lvlJc w:val="left"/>
      <w:pPr>
        <w:ind w:left="2880" w:hanging="360"/>
      </w:pPr>
    </w:lvl>
    <w:lvl w:ilvl="4" w:tplc="DDB4C73E" w:tentative="1">
      <w:start w:val="1"/>
      <w:numFmt w:val="lowerLetter"/>
      <w:lvlText w:val="%5."/>
      <w:lvlJc w:val="left"/>
      <w:pPr>
        <w:ind w:left="3600" w:hanging="360"/>
      </w:pPr>
    </w:lvl>
    <w:lvl w:ilvl="5" w:tplc="507AD890" w:tentative="1">
      <w:start w:val="1"/>
      <w:numFmt w:val="lowerRoman"/>
      <w:lvlText w:val="%6."/>
      <w:lvlJc w:val="right"/>
      <w:pPr>
        <w:ind w:left="4320" w:hanging="180"/>
      </w:pPr>
    </w:lvl>
    <w:lvl w:ilvl="6" w:tplc="870A33B0" w:tentative="1">
      <w:start w:val="1"/>
      <w:numFmt w:val="decimal"/>
      <w:lvlText w:val="%7."/>
      <w:lvlJc w:val="left"/>
      <w:pPr>
        <w:ind w:left="5040" w:hanging="360"/>
      </w:pPr>
    </w:lvl>
    <w:lvl w:ilvl="7" w:tplc="740EC85C" w:tentative="1">
      <w:start w:val="1"/>
      <w:numFmt w:val="lowerLetter"/>
      <w:lvlText w:val="%8."/>
      <w:lvlJc w:val="left"/>
      <w:pPr>
        <w:ind w:left="5760" w:hanging="360"/>
      </w:pPr>
    </w:lvl>
    <w:lvl w:ilvl="8" w:tplc="EF52D50E" w:tentative="1">
      <w:start w:val="1"/>
      <w:numFmt w:val="lowerRoman"/>
      <w:lvlText w:val="%9."/>
      <w:lvlJc w:val="right"/>
      <w:pPr>
        <w:ind w:left="6480" w:hanging="180"/>
      </w:pPr>
    </w:lvl>
  </w:abstractNum>
  <w:abstractNum w:abstractNumId="10" w15:restartNumberingAfterBreak="0">
    <w:nsid w:val="7488593B"/>
    <w:multiLevelType w:val="hybridMultilevel"/>
    <w:tmpl w:val="25F48424"/>
    <w:lvl w:ilvl="0" w:tplc="FFFFFFFF">
      <w:start w:val="1"/>
      <w:numFmt w:val="decimal"/>
      <w:lvlText w:val="%1."/>
      <w:lvlJc w:val="left"/>
      <w:pPr>
        <w:ind w:left="1080" w:hanging="720"/>
      </w:pPr>
      <w:rPr>
        <w:rFonts w:ascii="Times New Roman" w:hAnsi="Times New Roman" w:hint="default"/>
        <w:sz w:val="24"/>
        <w:szCs w:val="24"/>
      </w:rPr>
    </w:lvl>
    <w:lvl w:ilvl="1" w:tplc="0FD25FC0">
      <w:start w:val="1"/>
      <w:numFmt w:val="lowerLetter"/>
      <w:lvlText w:val="%2."/>
      <w:lvlJc w:val="left"/>
      <w:pPr>
        <w:ind w:left="1560" w:hanging="360"/>
      </w:pPr>
      <w:rPr>
        <w:rFonts w:ascii="Times New Roman" w:eastAsia="Times New Roman" w:hAnsi="Times New Roman" w:hint="default"/>
        <w:sz w:val="24"/>
        <w:szCs w:val="24"/>
      </w:rPr>
    </w:lvl>
    <w:lvl w:ilvl="2" w:tplc="AC107DA6">
      <w:start w:val="1"/>
      <w:numFmt w:val="bullet"/>
      <w:lvlText w:val="•"/>
      <w:lvlJc w:val="left"/>
      <w:pPr>
        <w:ind w:left="2531" w:hanging="360"/>
      </w:pPr>
      <w:rPr>
        <w:rFonts w:hint="default"/>
      </w:rPr>
    </w:lvl>
    <w:lvl w:ilvl="3" w:tplc="B820172A">
      <w:start w:val="1"/>
      <w:numFmt w:val="bullet"/>
      <w:lvlText w:val="•"/>
      <w:lvlJc w:val="left"/>
      <w:pPr>
        <w:ind w:left="3502" w:hanging="360"/>
      </w:pPr>
      <w:rPr>
        <w:rFonts w:hint="default"/>
      </w:rPr>
    </w:lvl>
    <w:lvl w:ilvl="4" w:tplc="29701F60">
      <w:start w:val="1"/>
      <w:numFmt w:val="bullet"/>
      <w:lvlText w:val="•"/>
      <w:lvlJc w:val="left"/>
      <w:pPr>
        <w:ind w:left="4473" w:hanging="360"/>
      </w:pPr>
      <w:rPr>
        <w:rFonts w:hint="default"/>
      </w:rPr>
    </w:lvl>
    <w:lvl w:ilvl="5" w:tplc="1D62AFEC">
      <w:start w:val="1"/>
      <w:numFmt w:val="bullet"/>
      <w:lvlText w:val="•"/>
      <w:lvlJc w:val="left"/>
      <w:pPr>
        <w:ind w:left="5444" w:hanging="360"/>
      </w:pPr>
      <w:rPr>
        <w:rFonts w:hint="default"/>
      </w:rPr>
    </w:lvl>
    <w:lvl w:ilvl="6" w:tplc="7C36900E">
      <w:start w:val="1"/>
      <w:numFmt w:val="bullet"/>
      <w:lvlText w:val="•"/>
      <w:lvlJc w:val="left"/>
      <w:pPr>
        <w:ind w:left="6415" w:hanging="360"/>
      </w:pPr>
      <w:rPr>
        <w:rFonts w:hint="default"/>
      </w:rPr>
    </w:lvl>
    <w:lvl w:ilvl="7" w:tplc="0F7AFE08">
      <w:start w:val="1"/>
      <w:numFmt w:val="bullet"/>
      <w:lvlText w:val="•"/>
      <w:lvlJc w:val="left"/>
      <w:pPr>
        <w:ind w:left="7386" w:hanging="360"/>
      </w:pPr>
      <w:rPr>
        <w:rFonts w:hint="default"/>
      </w:rPr>
    </w:lvl>
    <w:lvl w:ilvl="8" w:tplc="03481DD4">
      <w:start w:val="1"/>
      <w:numFmt w:val="bullet"/>
      <w:lvlText w:val="•"/>
      <w:lvlJc w:val="left"/>
      <w:pPr>
        <w:ind w:left="8357" w:hanging="360"/>
      </w:pPr>
      <w:rPr>
        <w:rFonts w:hint="default"/>
      </w:rPr>
    </w:lvl>
  </w:abstractNum>
  <w:abstractNum w:abstractNumId="11" w15:restartNumberingAfterBreak="0">
    <w:nsid w:val="74AC4AA6"/>
    <w:multiLevelType w:val="hybridMultilevel"/>
    <w:tmpl w:val="F4CA9434"/>
    <w:lvl w:ilvl="0" w:tplc="ABDCBF00">
      <w:start w:val="1"/>
      <w:numFmt w:val="decimal"/>
      <w:lvlText w:val="%1."/>
      <w:lvlJc w:val="left"/>
      <w:pPr>
        <w:ind w:left="1080" w:hanging="720"/>
      </w:pPr>
      <w:rPr>
        <w:rFonts w:ascii="Times New Roman" w:eastAsia="Times New Roman" w:hAnsi="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FF5B1D"/>
    <w:multiLevelType w:val="hybridMultilevel"/>
    <w:tmpl w:val="592A3CAC"/>
    <w:lvl w:ilvl="0" w:tplc="1FB4A3DA">
      <w:start w:val="1"/>
      <w:numFmt w:val="decimal"/>
      <w:lvlText w:val="%1."/>
      <w:lvlJc w:val="left"/>
      <w:pPr>
        <w:ind w:left="840" w:hanging="720"/>
      </w:pPr>
      <w:rPr>
        <w:rFonts w:ascii="Times New Roman" w:eastAsia="Times New Roman" w:hAnsi="Times New Roman" w:hint="default"/>
        <w:sz w:val="24"/>
        <w:szCs w:val="24"/>
      </w:rPr>
    </w:lvl>
    <w:lvl w:ilvl="1" w:tplc="4C5CE690">
      <w:start w:val="1"/>
      <w:numFmt w:val="bullet"/>
      <w:lvlText w:val="•"/>
      <w:lvlJc w:val="left"/>
      <w:pPr>
        <w:ind w:left="1788" w:hanging="720"/>
      </w:pPr>
      <w:rPr>
        <w:rFonts w:hint="default"/>
      </w:rPr>
    </w:lvl>
    <w:lvl w:ilvl="2" w:tplc="C332E38A">
      <w:start w:val="1"/>
      <w:numFmt w:val="bullet"/>
      <w:lvlText w:val="•"/>
      <w:lvlJc w:val="left"/>
      <w:pPr>
        <w:ind w:left="2736" w:hanging="720"/>
      </w:pPr>
      <w:rPr>
        <w:rFonts w:hint="default"/>
      </w:rPr>
    </w:lvl>
    <w:lvl w:ilvl="3" w:tplc="A5E81E2A">
      <w:start w:val="1"/>
      <w:numFmt w:val="bullet"/>
      <w:lvlText w:val="•"/>
      <w:lvlJc w:val="left"/>
      <w:pPr>
        <w:ind w:left="3684" w:hanging="720"/>
      </w:pPr>
      <w:rPr>
        <w:rFonts w:hint="default"/>
      </w:rPr>
    </w:lvl>
    <w:lvl w:ilvl="4" w:tplc="A35EC01C">
      <w:start w:val="1"/>
      <w:numFmt w:val="bullet"/>
      <w:lvlText w:val="•"/>
      <w:lvlJc w:val="left"/>
      <w:pPr>
        <w:ind w:left="4632" w:hanging="720"/>
      </w:pPr>
      <w:rPr>
        <w:rFonts w:hint="default"/>
      </w:rPr>
    </w:lvl>
    <w:lvl w:ilvl="5" w:tplc="74E4B5B2">
      <w:start w:val="1"/>
      <w:numFmt w:val="bullet"/>
      <w:lvlText w:val="•"/>
      <w:lvlJc w:val="left"/>
      <w:pPr>
        <w:ind w:left="5580" w:hanging="720"/>
      </w:pPr>
      <w:rPr>
        <w:rFonts w:hint="default"/>
      </w:rPr>
    </w:lvl>
    <w:lvl w:ilvl="6" w:tplc="1B0A9936">
      <w:start w:val="1"/>
      <w:numFmt w:val="bullet"/>
      <w:lvlText w:val="•"/>
      <w:lvlJc w:val="left"/>
      <w:pPr>
        <w:ind w:left="6528" w:hanging="720"/>
      </w:pPr>
      <w:rPr>
        <w:rFonts w:hint="default"/>
      </w:rPr>
    </w:lvl>
    <w:lvl w:ilvl="7" w:tplc="2FF2C9C2">
      <w:start w:val="1"/>
      <w:numFmt w:val="bullet"/>
      <w:lvlText w:val="•"/>
      <w:lvlJc w:val="left"/>
      <w:pPr>
        <w:ind w:left="7476" w:hanging="720"/>
      </w:pPr>
      <w:rPr>
        <w:rFonts w:hint="default"/>
      </w:rPr>
    </w:lvl>
    <w:lvl w:ilvl="8" w:tplc="A662A6E4">
      <w:start w:val="1"/>
      <w:numFmt w:val="bullet"/>
      <w:lvlText w:val="•"/>
      <w:lvlJc w:val="left"/>
      <w:pPr>
        <w:ind w:left="8424" w:hanging="720"/>
      </w:pPr>
      <w:rPr>
        <w:rFonts w:hint="default"/>
      </w:rPr>
    </w:lvl>
  </w:abstractNum>
  <w:num w:numId="1">
    <w:abstractNumId w:val="9"/>
  </w:num>
  <w:num w:numId="2">
    <w:abstractNumId w:val="3"/>
  </w:num>
  <w:num w:numId="3">
    <w:abstractNumId w:val="4"/>
  </w:num>
  <w:num w:numId="4">
    <w:abstractNumId w:val="8"/>
  </w:num>
  <w:num w:numId="5">
    <w:abstractNumId w:val="1"/>
  </w:num>
  <w:num w:numId="6">
    <w:abstractNumId w:val="0"/>
  </w:num>
  <w:num w:numId="7">
    <w:abstractNumId w:val="5"/>
  </w:num>
  <w:num w:numId="8">
    <w:abstractNumId w:val="10"/>
  </w:num>
  <w:num w:numId="9">
    <w:abstractNumId w:val="2"/>
  </w:num>
  <w:num w:numId="10">
    <w:abstractNumId w:val="12"/>
  </w:num>
  <w:num w:numId="11">
    <w:abstractNumId w:val="7"/>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E3"/>
    <w:rsid w:val="000106E6"/>
    <w:rsid w:val="00012FA3"/>
    <w:rsid w:val="00021563"/>
    <w:rsid w:val="000215F8"/>
    <w:rsid w:val="000414FB"/>
    <w:rsid w:val="00043733"/>
    <w:rsid w:val="00050D32"/>
    <w:rsid w:val="000510AD"/>
    <w:rsid w:val="000606D1"/>
    <w:rsid w:val="000805AE"/>
    <w:rsid w:val="00080608"/>
    <w:rsid w:val="000822BA"/>
    <w:rsid w:val="00085AA4"/>
    <w:rsid w:val="00092295"/>
    <w:rsid w:val="000A3497"/>
    <w:rsid w:val="000D1A7A"/>
    <w:rsid w:val="000D4F51"/>
    <w:rsid w:val="000D5037"/>
    <w:rsid w:val="000F3A21"/>
    <w:rsid w:val="000F64D8"/>
    <w:rsid w:val="001018DD"/>
    <w:rsid w:val="00105CA9"/>
    <w:rsid w:val="00105CB4"/>
    <w:rsid w:val="0011625A"/>
    <w:rsid w:val="00117FE5"/>
    <w:rsid w:val="00123209"/>
    <w:rsid w:val="0014247E"/>
    <w:rsid w:val="00144EC0"/>
    <w:rsid w:val="00162F96"/>
    <w:rsid w:val="00166A91"/>
    <w:rsid w:val="00186B2E"/>
    <w:rsid w:val="0019328D"/>
    <w:rsid w:val="001A3031"/>
    <w:rsid w:val="001B25E3"/>
    <w:rsid w:val="001C1A24"/>
    <w:rsid w:val="001C3491"/>
    <w:rsid w:val="001C3DBF"/>
    <w:rsid w:val="001D3E35"/>
    <w:rsid w:val="001E437F"/>
    <w:rsid w:val="001F0CC1"/>
    <w:rsid w:val="00200E34"/>
    <w:rsid w:val="00201B67"/>
    <w:rsid w:val="00203DB8"/>
    <w:rsid w:val="00205816"/>
    <w:rsid w:val="00206792"/>
    <w:rsid w:val="00206917"/>
    <w:rsid w:val="002078C0"/>
    <w:rsid w:val="0021431C"/>
    <w:rsid w:val="00233682"/>
    <w:rsid w:val="00234949"/>
    <w:rsid w:val="00235597"/>
    <w:rsid w:val="002410A4"/>
    <w:rsid w:val="00243D8D"/>
    <w:rsid w:val="002476D7"/>
    <w:rsid w:val="00247F73"/>
    <w:rsid w:val="002522A8"/>
    <w:rsid w:val="00255A1A"/>
    <w:rsid w:val="00265169"/>
    <w:rsid w:val="002676C1"/>
    <w:rsid w:val="00277569"/>
    <w:rsid w:val="00284927"/>
    <w:rsid w:val="00292B92"/>
    <w:rsid w:val="002A1168"/>
    <w:rsid w:val="002A2350"/>
    <w:rsid w:val="002A7042"/>
    <w:rsid w:val="002C69BA"/>
    <w:rsid w:val="002D37F1"/>
    <w:rsid w:val="002E4412"/>
    <w:rsid w:val="002E68A5"/>
    <w:rsid w:val="002F0762"/>
    <w:rsid w:val="002F174F"/>
    <w:rsid w:val="002F5BB0"/>
    <w:rsid w:val="002F6029"/>
    <w:rsid w:val="003012EF"/>
    <w:rsid w:val="00307CB1"/>
    <w:rsid w:val="00317BAD"/>
    <w:rsid w:val="003218DA"/>
    <w:rsid w:val="00331164"/>
    <w:rsid w:val="0035161C"/>
    <w:rsid w:val="003553D7"/>
    <w:rsid w:val="0035645E"/>
    <w:rsid w:val="00357CAD"/>
    <w:rsid w:val="00363B18"/>
    <w:rsid w:val="00363C83"/>
    <w:rsid w:val="00363DF4"/>
    <w:rsid w:val="00366AF1"/>
    <w:rsid w:val="00375B1C"/>
    <w:rsid w:val="00376F3A"/>
    <w:rsid w:val="003925B0"/>
    <w:rsid w:val="003A12ED"/>
    <w:rsid w:val="003C3A53"/>
    <w:rsid w:val="003C7160"/>
    <w:rsid w:val="003D69B7"/>
    <w:rsid w:val="003E01C3"/>
    <w:rsid w:val="003E4099"/>
    <w:rsid w:val="003E471C"/>
    <w:rsid w:val="003E49DF"/>
    <w:rsid w:val="003F7944"/>
    <w:rsid w:val="00400267"/>
    <w:rsid w:val="004107A7"/>
    <w:rsid w:val="004115E3"/>
    <w:rsid w:val="004153DC"/>
    <w:rsid w:val="0041750F"/>
    <w:rsid w:val="004201D9"/>
    <w:rsid w:val="004259B1"/>
    <w:rsid w:val="0043518C"/>
    <w:rsid w:val="00440A03"/>
    <w:rsid w:val="00444DD9"/>
    <w:rsid w:val="00456DA4"/>
    <w:rsid w:val="00495809"/>
    <w:rsid w:val="00497D84"/>
    <w:rsid w:val="004A2149"/>
    <w:rsid w:val="004B19DB"/>
    <w:rsid w:val="004B2885"/>
    <w:rsid w:val="004C0495"/>
    <w:rsid w:val="004C276B"/>
    <w:rsid w:val="004C72E9"/>
    <w:rsid w:val="004D36E3"/>
    <w:rsid w:val="004D6584"/>
    <w:rsid w:val="004D7807"/>
    <w:rsid w:val="004E018A"/>
    <w:rsid w:val="004E10DE"/>
    <w:rsid w:val="004E7347"/>
    <w:rsid w:val="004F0C10"/>
    <w:rsid w:val="004F4EC7"/>
    <w:rsid w:val="0050280F"/>
    <w:rsid w:val="0052034F"/>
    <w:rsid w:val="00523DA0"/>
    <w:rsid w:val="00531710"/>
    <w:rsid w:val="005329A9"/>
    <w:rsid w:val="00563342"/>
    <w:rsid w:val="00574E66"/>
    <w:rsid w:val="00581B6C"/>
    <w:rsid w:val="0058200B"/>
    <w:rsid w:val="00590C58"/>
    <w:rsid w:val="00592F45"/>
    <w:rsid w:val="005B4454"/>
    <w:rsid w:val="005C0294"/>
    <w:rsid w:val="005C22E7"/>
    <w:rsid w:val="005C3C35"/>
    <w:rsid w:val="005D12A2"/>
    <w:rsid w:val="005D3360"/>
    <w:rsid w:val="005E7FB1"/>
    <w:rsid w:val="005F620E"/>
    <w:rsid w:val="0060407E"/>
    <w:rsid w:val="00631A2B"/>
    <w:rsid w:val="006323B3"/>
    <w:rsid w:val="006450F0"/>
    <w:rsid w:val="0065105F"/>
    <w:rsid w:val="00654696"/>
    <w:rsid w:val="0068003F"/>
    <w:rsid w:val="00683FB9"/>
    <w:rsid w:val="0068605D"/>
    <w:rsid w:val="00686CE7"/>
    <w:rsid w:val="00694F9E"/>
    <w:rsid w:val="006975E6"/>
    <w:rsid w:val="006A4D49"/>
    <w:rsid w:val="006B2C08"/>
    <w:rsid w:val="006C3FDA"/>
    <w:rsid w:val="006C7329"/>
    <w:rsid w:val="006D587A"/>
    <w:rsid w:val="006E6F0A"/>
    <w:rsid w:val="006E7110"/>
    <w:rsid w:val="006F1E15"/>
    <w:rsid w:val="006F35F7"/>
    <w:rsid w:val="006F6603"/>
    <w:rsid w:val="007010E3"/>
    <w:rsid w:val="00705A94"/>
    <w:rsid w:val="00707E2F"/>
    <w:rsid w:val="00724B1F"/>
    <w:rsid w:val="007254C9"/>
    <w:rsid w:val="00726369"/>
    <w:rsid w:val="007345BF"/>
    <w:rsid w:val="007355D5"/>
    <w:rsid w:val="00747549"/>
    <w:rsid w:val="00756E3D"/>
    <w:rsid w:val="007728EB"/>
    <w:rsid w:val="00786C14"/>
    <w:rsid w:val="0079305A"/>
    <w:rsid w:val="007A252C"/>
    <w:rsid w:val="007B1320"/>
    <w:rsid w:val="007B1B99"/>
    <w:rsid w:val="007B601B"/>
    <w:rsid w:val="007D3028"/>
    <w:rsid w:val="007D47AA"/>
    <w:rsid w:val="007D6662"/>
    <w:rsid w:val="007E0EAD"/>
    <w:rsid w:val="007E2EBA"/>
    <w:rsid w:val="008042B5"/>
    <w:rsid w:val="008137BE"/>
    <w:rsid w:val="00816C43"/>
    <w:rsid w:val="008211A7"/>
    <w:rsid w:val="008364F6"/>
    <w:rsid w:val="00837385"/>
    <w:rsid w:val="00851619"/>
    <w:rsid w:val="00853E61"/>
    <w:rsid w:val="00864A1F"/>
    <w:rsid w:val="008658D7"/>
    <w:rsid w:val="0086611A"/>
    <w:rsid w:val="00870F53"/>
    <w:rsid w:val="00873944"/>
    <w:rsid w:val="008745A7"/>
    <w:rsid w:val="00887168"/>
    <w:rsid w:val="008938E6"/>
    <w:rsid w:val="008939D0"/>
    <w:rsid w:val="008A1597"/>
    <w:rsid w:val="008B72BD"/>
    <w:rsid w:val="008D7C08"/>
    <w:rsid w:val="008E47E7"/>
    <w:rsid w:val="008E7FFC"/>
    <w:rsid w:val="008F5C53"/>
    <w:rsid w:val="00915892"/>
    <w:rsid w:val="00915A70"/>
    <w:rsid w:val="009208F5"/>
    <w:rsid w:val="00924991"/>
    <w:rsid w:val="00925144"/>
    <w:rsid w:val="00927EB7"/>
    <w:rsid w:val="00934474"/>
    <w:rsid w:val="00942256"/>
    <w:rsid w:val="009435E7"/>
    <w:rsid w:val="00951A57"/>
    <w:rsid w:val="00954700"/>
    <w:rsid w:val="009556FA"/>
    <w:rsid w:val="00963613"/>
    <w:rsid w:val="00963FD9"/>
    <w:rsid w:val="00964CDE"/>
    <w:rsid w:val="009679F1"/>
    <w:rsid w:val="00974E9A"/>
    <w:rsid w:val="00980EC3"/>
    <w:rsid w:val="00985BAD"/>
    <w:rsid w:val="00990638"/>
    <w:rsid w:val="00997279"/>
    <w:rsid w:val="0099798A"/>
    <w:rsid w:val="009A1F9A"/>
    <w:rsid w:val="009B2F98"/>
    <w:rsid w:val="009B75ED"/>
    <w:rsid w:val="009C0898"/>
    <w:rsid w:val="009C3E7F"/>
    <w:rsid w:val="009D06DD"/>
    <w:rsid w:val="009D29C3"/>
    <w:rsid w:val="009E1596"/>
    <w:rsid w:val="009E7C5F"/>
    <w:rsid w:val="009F1B85"/>
    <w:rsid w:val="009F5F37"/>
    <w:rsid w:val="00A00BDD"/>
    <w:rsid w:val="00A049E4"/>
    <w:rsid w:val="00A10F7E"/>
    <w:rsid w:val="00A13E43"/>
    <w:rsid w:val="00A14757"/>
    <w:rsid w:val="00A21773"/>
    <w:rsid w:val="00A24000"/>
    <w:rsid w:val="00A2481D"/>
    <w:rsid w:val="00A24F1F"/>
    <w:rsid w:val="00A355FF"/>
    <w:rsid w:val="00A356D8"/>
    <w:rsid w:val="00A3573B"/>
    <w:rsid w:val="00A404E4"/>
    <w:rsid w:val="00A50504"/>
    <w:rsid w:val="00A57F8F"/>
    <w:rsid w:val="00A629DA"/>
    <w:rsid w:val="00A82F9C"/>
    <w:rsid w:val="00A85CCD"/>
    <w:rsid w:val="00A87097"/>
    <w:rsid w:val="00A87861"/>
    <w:rsid w:val="00A90C47"/>
    <w:rsid w:val="00A90C9F"/>
    <w:rsid w:val="00A94C9D"/>
    <w:rsid w:val="00A94CDC"/>
    <w:rsid w:val="00AC393B"/>
    <w:rsid w:val="00AC5DDB"/>
    <w:rsid w:val="00AD1E5A"/>
    <w:rsid w:val="00AD44FB"/>
    <w:rsid w:val="00AD7EA2"/>
    <w:rsid w:val="00AE43AC"/>
    <w:rsid w:val="00AF2D0D"/>
    <w:rsid w:val="00AF345B"/>
    <w:rsid w:val="00AF5335"/>
    <w:rsid w:val="00AF74DD"/>
    <w:rsid w:val="00B04411"/>
    <w:rsid w:val="00B110EA"/>
    <w:rsid w:val="00B354D9"/>
    <w:rsid w:val="00B3678C"/>
    <w:rsid w:val="00B448C5"/>
    <w:rsid w:val="00B46374"/>
    <w:rsid w:val="00B52029"/>
    <w:rsid w:val="00B6211A"/>
    <w:rsid w:val="00B62A74"/>
    <w:rsid w:val="00B64BD5"/>
    <w:rsid w:val="00B67CC0"/>
    <w:rsid w:val="00B73694"/>
    <w:rsid w:val="00B90533"/>
    <w:rsid w:val="00BA3A13"/>
    <w:rsid w:val="00BB078E"/>
    <w:rsid w:val="00BD0638"/>
    <w:rsid w:val="00BD12B8"/>
    <w:rsid w:val="00BD2E95"/>
    <w:rsid w:val="00BE4111"/>
    <w:rsid w:val="00BF4997"/>
    <w:rsid w:val="00C01F92"/>
    <w:rsid w:val="00C026D7"/>
    <w:rsid w:val="00C20311"/>
    <w:rsid w:val="00C50EA0"/>
    <w:rsid w:val="00C5149E"/>
    <w:rsid w:val="00C567BC"/>
    <w:rsid w:val="00C63BA0"/>
    <w:rsid w:val="00C70E1D"/>
    <w:rsid w:val="00C75CC9"/>
    <w:rsid w:val="00C85A6B"/>
    <w:rsid w:val="00C85C99"/>
    <w:rsid w:val="00CA27AF"/>
    <w:rsid w:val="00CA2AF6"/>
    <w:rsid w:val="00CC0363"/>
    <w:rsid w:val="00CE0346"/>
    <w:rsid w:val="00CE04C3"/>
    <w:rsid w:val="00CF0F5F"/>
    <w:rsid w:val="00D019C8"/>
    <w:rsid w:val="00D02272"/>
    <w:rsid w:val="00D15EF3"/>
    <w:rsid w:val="00D21D94"/>
    <w:rsid w:val="00D33753"/>
    <w:rsid w:val="00D37FD0"/>
    <w:rsid w:val="00D412D5"/>
    <w:rsid w:val="00D438CC"/>
    <w:rsid w:val="00D5062F"/>
    <w:rsid w:val="00D532F2"/>
    <w:rsid w:val="00D55142"/>
    <w:rsid w:val="00D824DC"/>
    <w:rsid w:val="00D86A11"/>
    <w:rsid w:val="00D879E4"/>
    <w:rsid w:val="00DA1670"/>
    <w:rsid w:val="00DA225C"/>
    <w:rsid w:val="00DA2275"/>
    <w:rsid w:val="00DA3C1A"/>
    <w:rsid w:val="00DA3D41"/>
    <w:rsid w:val="00DA7DA3"/>
    <w:rsid w:val="00DB25E5"/>
    <w:rsid w:val="00DB6367"/>
    <w:rsid w:val="00DD53D8"/>
    <w:rsid w:val="00DE105D"/>
    <w:rsid w:val="00DE584D"/>
    <w:rsid w:val="00DE7F8A"/>
    <w:rsid w:val="00DF405F"/>
    <w:rsid w:val="00E018DC"/>
    <w:rsid w:val="00E04B66"/>
    <w:rsid w:val="00E05465"/>
    <w:rsid w:val="00E12DAA"/>
    <w:rsid w:val="00E13E38"/>
    <w:rsid w:val="00E246CC"/>
    <w:rsid w:val="00E2493D"/>
    <w:rsid w:val="00E3037D"/>
    <w:rsid w:val="00E317F2"/>
    <w:rsid w:val="00E31D98"/>
    <w:rsid w:val="00E325E4"/>
    <w:rsid w:val="00E52BD8"/>
    <w:rsid w:val="00E57E9B"/>
    <w:rsid w:val="00E71B15"/>
    <w:rsid w:val="00E73196"/>
    <w:rsid w:val="00E7531C"/>
    <w:rsid w:val="00E75A2A"/>
    <w:rsid w:val="00E77151"/>
    <w:rsid w:val="00E81579"/>
    <w:rsid w:val="00E92734"/>
    <w:rsid w:val="00EA0ED7"/>
    <w:rsid w:val="00EA68FE"/>
    <w:rsid w:val="00EB3FEE"/>
    <w:rsid w:val="00EB4B21"/>
    <w:rsid w:val="00EB4D92"/>
    <w:rsid w:val="00EC1814"/>
    <w:rsid w:val="00ED2526"/>
    <w:rsid w:val="00ED57E9"/>
    <w:rsid w:val="00EE16F4"/>
    <w:rsid w:val="00EE3B96"/>
    <w:rsid w:val="00EE3C8F"/>
    <w:rsid w:val="00EE5432"/>
    <w:rsid w:val="00EE5A2A"/>
    <w:rsid w:val="00EF1533"/>
    <w:rsid w:val="00EF67E6"/>
    <w:rsid w:val="00F00869"/>
    <w:rsid w:val="00F136D3"/>
    <w:rsid w:val="00F17CD9"/>
    <w:rsid w:val="00F205B9"/>
    <w:rsid w:val="00F30FFA"/>
    <w:rsid w:val="00F33C20"/>
    <w:rsid w:val="00F37234"/>
    <w:rsid w:val="00F40F4D"/>
    <w:rsid w:val="00F4590B"/>
    <w:rsid w:val="00F505CC"/>
    <w:rsid w:val="00F54B81"/>
    <w:rsid w:val="00F6285E"/>
    <w:rsid w:val="00F6306F"/>
    <w:rsid w:val="00F71295"/>
    <w:rsid w:val="00F824C9"/>
    <w:rsid w:val="00FA0225"/>
    <w:rsid w:val="00FA5620"/>
    <w:rsid w:val="00FA5B2C"/>
    <w:rsid w:val="00FA7048"/>
    <w:rsid w:val="00FC1C15"/>
    <w:rsid w:val="00FD1093"/>
    <w:rsid w:val="00FE24C2"/>
    <w:rsid w:val="00FE2EA2"/>
    <w:rsid w:val="00FE649A"/>
    <w:rsid w:val="00FE67E2"/>
    <w:rsid w:val="00FF629E"/>
    <w:rsid w:val="03CC5A80"/>
    <w:rsid w:val="04F5FE5D"/>
    <w:rsid w:val="052CC2C8"/>
    <w:rsid w:val="09888F9D"/>
    <w:rsid w:val="09CE0849"/>
    <w:rsid w:val="0ACFAC14"/>
    <w:rsid w:val="0BF31280"/>
    <w:rsid w:val="0C61F764"/>
    <w:rsid w:val="0CDEF928"/>
    <w:rsid w:val="0CE8ED95"/>
    <w:rsid w:val="0CF051E8"/>
    <w:rsid w:val="0DADB679"/>
    <w:rsid w:val="10C1CF00"/>
    <w:rsid w:val="12439C01"/>
    <w:rsid w:val="12891522"/>
    <w:rsid w:val="14DD8EF3"/>
    <w:rsid w:val="187747A1"/>
    <w:rsid w:val="18F856A6"/>
    <w:rsid w:val="19CCAE3B"/>
    <w:rsid w:val="1C2FF768"/>
    <w:rsid w:val="1E18FBE2"/>
    <w:rsid w:val="21438BE9"/>
    <w:rsid w:val="2371E5FC"/>
    <w:rsid w:val="243B094D"/>
    <w:rsid w:val="26A8EE67"/>
    <w:rsid w:val="29DC2581"/>
    <w:rsid w:val="2A0B475B"/>
    <w:rsid w:val="2BD87DBC"/>
    <w:rsid w:val="2C55431D"/>
    <w:rsid w:val="2D0F84CB"/>
    <w:rsid w:val="30C2D85D"/>
    <w:rsid w:val="315D6FA1"/>
    <w:rsid w:val="31F64B7F"/>
    <w:rsid w:val="321B3374"/>
    <w:rsid w:val="328EB0CB"/>
    <w:rsid w:val="338FF74C"/>
    <w:rsid w:val="36C7980E"/>
    <w:rsid w:val="3A7A3BA2"/>
    <w:rsid w:val="3FAD4489"/>
    <w:rsid w:val="3FBDF3BC"/>
    <w:rsid w:val="482B1528"/>
    <w:rsid w:val="495426CF"/>
    <w:rsid w:val="4D546979"/>
    <w:rsid w:val="4E330B3A"/>
    <w:rsid w:val="4E51A48E"/>
    <w:rsid w:val="4F0E07CA"/>
    <w:rsid w:val="51606047"/>
    <w:rsid w:val="54D26589"/>
    <w:rsid w:val="55367575"/>
    <w:rsid w:val="557EFCAF"/>
    <w:rsid w:val="59246CD1"/>
    <w:rsid w:val="5A44E52F"/>
    <w:rsid w:val="5F78E98D"/>
    <w:rsid w:val="602DB1DE"/>
    <w:rsid w:val="62979DFB"/>
    <w:rsid w:val="65EBD7AE"/>
    <w:rsid w:val="663792CA"/>
    <w:rsid w:val="667F3C90"/>
    <w:rsid w:val="67D3632B"/>
    <w:rsid w:val="68395177"/>
    <w:rsid w:val="683DE4FE"/>
    <w:rsid w:val="6BF6D95A"/>
    <w:rsid w:val="70F45E50"/>
    <w:rsid w:val="71A33148"/>
    <w:rsid w:val="745D711A"/>
    <w:rsid w:val="750845AF"/>
    <w:rsid w:val="77D86341"/>
    <w:rsid w:val="7ACBBF3F"/>
    <w:rsid w:val="7E021481"/>
    <w:rsid w:val="7F9DE4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1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B25E3"/>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rsid w:val="001B25E3"/>
    <w:pPr>
      <w:keepNext/>
      <w:keepLines/>
      <w:numPr>
        <w:numId w:val="1"/>
      </w:numPr>
      <w:spacing w:after="240"/>
      <w:ind w:hanging="720"/>
      <w:jc w:val="center"/>
      <w:outlineLvl w:val="0"/>
    </w:pPr>
    <w:rPr>
      <w:rFonts w:ascii="Times New Roman Bold" w:eastAsiaTheme="majorEastAsia" w:hAnsi="Times New Roman Bold" w:cstheme="majorBidi"/>
      <w:b/>
      <w:caps/>
      <w:szCs w:val="32"/>
    </w:rPr>
  </w:style>
  <w:style w:type="paragraph" w:styleId="Heading2">
    <w:name w:val="heading 2"/>
    <w:basedOn w:val="Normal"/>
    <w:next w:val="Normal"/>
    <w:link w:val="Heading2Char"/>
    <w:uiPriority w:val="1"/>
    <w:unhideWhenUsed/>
    <w:qFormat/>
    <w:rsid w:val="000D1A7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25E3"/>
    <w:rPr>
      <w:rFonts w:ascii="Times New Roman Bold" w:eastAsiaTheme="majorEastAsia" w:hAnsi="Times New Roman Bold" w:cstheme="majorBidi"/>
      <w:b/>
      <w:caps/>
      <w:sz w:val="24"/>
      <w:szCs w:val="32"/>
    </w:rPr>
  </w:style>
  <w:style w:type="character" w:styleId="Hyperlink">
    <w:name w:val="Hyperlink"/>
    <w:basedOn w:val="DefaultParagraphFont"/>
    <w:uiPriority w:val="99"/>
    <w:unhideWhenUsed/>
    <w:rsid w:val="001B25E3"/>
    <w:rPr>
      <w:color w:val="0563C1" w:themeColor="hyperlink"/>
      <w:u w:val="single"/>
    </w:rPr>
  </w:style>
  <w:style w:type="paragraph" w:customStyle="1" w:styleId="BodyText2">
    <w:name w:val="Body Text2"/>
    <w:basedOn w:val="Normal"/>
    <w:qFormat/>
    <w:rsid w:val="001B25E3"/>
    <w:pPr>
      <w:spacing w:after="240"/>
      <w:ind w:left="1440"/>
      <w:contextualSpacing/>
      <w:jc w:val="both"/>
    </w:pPr>
    <w:rPr>
      <w:rFonts w:cs="Arial"/>
      <w:szCs w:val="22"/>
    </w:rPr>
  </w:style>
  <w:style w:type="paragraph" w:customStyle="1" w:styleId="Default">
    <w:name w:val="Default"/>
    <w:rsid w:val="001B25E3"/>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1B25E3"/>
    <w:pPr>
      <w:tabs>
        <w:tab w:val="center" w:pos="4680"/>
        <w:tab w:val="right" w:pos="9360"/>
      </w:tabs>
    </w:pPr>
  </w:style>
  <w:style w:type="character" w:customStyle="1" w:styleId="FooterChar">
    <w:name w:val="Footer Char"/>
    <w:basedOn w:val="DefaultParagraphFont"/>
    <w:link w:val="Footer"/>
    <w:uiPriority w:val="99"/>
    <w:rsid w:val="001B25E3"/>
    <w:rPr>
      <w:rFonts w:ascii="Times New Roman" w:hAnsi="Times New Roman" w:cs="Times New Roman"/>
      <w:sz w:val="24"/>
      <w:szCs w:val="24"/>
    </w:rPr>
  </w:style>
  <w:style w:type="table" w:styleId="TableGrid">
    <w:name w:val="Table Grid"/>
    <w:basedOn w:val="TableNormal"/>
    <w:uiPriority w:val="39"/>
    <w:rsid w:val="001B2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B25E3"/>
    <w:rPr>
      <w:sz w:val="20"/>
      <w:szCs w:val="20"/>
    </w:rPr>
  </w:style>
  <w:style w:type="character" w:customStyle="1" w:styleId="FootnoteTextChar">
    <w:name w:val="Footnote Text Char"/>
    <w:basedOn w:val="DefaultParagraphFont"/>
    <w:link w:val="FootnoteText"/>
    <w:uiPriority w:val="99"/>
    <w:rsid w:val="001B25E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1B25E3"/>
    <w:rPr>
      <w:vertAlign w:val="superscript"/>
    </w:rPr>
  </w:style>
  <w:style w:type="character" w:styleId="CommentReference">
    <w:name w:val="annotation reference"/>
    <w:basedOn w:val="DefaultParagraphFont"/>
    <w:uiPriority w:val="99"/>
    <w:semiHidden/>
    <w:unhideWhenUsed/>
    <w:rsid w:val="006323B3"/>
    <w:rPr>
      <w:sz w:val="16"/>
      <w:szCs w:val="16"/>
    </w:rPr>
  </w:style>
  <w:style w:type="paragraph" w:styleId="CommentText">
    <w:name w:val="annotation text"/>
    <w:basedOn w:val="Normal"/>
    <w:link w:val="CommentTextChar"/>
    <w:uiPriority w:val="99"/>
    <w:unhideWhenUsed/>
    <w:rsid w:val="006323B3"/>
    <w:rPr>
      <w:sz w:val="20"/>
      <w:szCs w:val="20"/>
    </w:rPr>
  </w:style>
  <w:style w:type="character" w:customStyle="1" w:styleId="CommentTextChar">
    <w:name w:val="Comment Text Char"/>
    <w:basedOn w:val="DefaultParagraphFont"/>
    <w:link w:val="CommentText"/>
    <w:uiPriority w:val="99"/>
    <w:rsid w:val="006323B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323B3"/>
    <w:rPr>
      <w:b/>
      <w:bCs/>
    </w:rPr>
  </w:style>
  <w:style w:type="character" w:customStyle="1" w:styleId="CommentSubjectChar">
    <w:name w:val="Comment Subject Char"/>
    <w:basedOn w:val="CommentTextChar"/>
    <w:link w:val="CommentSubject"/>
    <w:uiPriority w:val="99"/>
    <w:semiHidden/>
    <w:rsid w:val="006323B3"/>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6323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3B3"/>
    <w:rPr>
      <w:rFonts w:ascii="Segoe UI" w:hAnsi="Segoe UI" w:cs="Segoe UI"/>
      <w:sz w:val="18"/>
      <w:szCs w:val="18"/>
    </w:rPr>
  </w:style>
  <w:style w:type="paragraph" w:styleId="ListNumber">
    <w:name w:val="List Number"/>
    <w:autoRedefine/>
    <w:uiPriority w:val="99"/>
    <w:unhideWhenUsed/>
    <w:rsid w:val="002C69BA"/>
    <w:pPr>
      <w:spacing w:before="120" w:after="240" w:line="240" w:lineRule="auto"/>
      <w:ind w:left="720" w:hanging="360"/>
      <w:jc w:val="both"/>
    </w:pPr>
    <w:rPr>
      <w:rFonts w:ascii="Times New Roman" w:hAnsi="Times New Roman"/>
      <w:b/>
      <w:sz w:val="24"/>
    </w:rPr>
  </w:style>
  <w:style w:type="paragraph" w:styleId="Header">
    <w:name w:val="header"/>
    <w:basedOn w:val="Normal"/>
    <w:link w:val="HeaderChar"/>
    <w:uiPriority w:val="99"/>
    <w:unhideWhenUsed/>
    <w:rsid w:val="009D06DD"/>
    <w:pPr>
      <w:tabs>
        <w:tab w:val="center" w:pos="4680"/>
        <w:tab w:val="right" w:pos="9360"/>
      </w:tabs>
    </w:pPr>
  </w:style>
  <w:style w:type="character" w:customStyle="1" w:styleId="HeaderChar">
    <w:name w:val="Header Char"/>
    <w:basedOn w:val="DefaultParagraphFont"/>
    <w:link w:val="Header"/>
    <w:uiPriority w:val="99"/>
    <w:rsid w:val="009D06DD"/>
    <w:rPr>
      <w:rFonts w:ascii="Times New Roman" w:hAnsi="Times New Roman" w:cs="Times New Roman"/>
      <w:sz w:val="24"/>
      <w:szCs w:val="24"/>
    </w:rPr>
  </w:style>
  <w:style w:type="paragraph" w:styleId="BodyText">
    <w:name w:val="Body Text"/>
    <w:basedOn w:val="Normal"/>
    <w:link w:val="BodyTextChar"/>
    <w:uiPriority w:val="1"/>
    <w:qFormat/>
    <w:rsid w:val="001F0CC1"/>
    <w:pPr>
      <w:widowControl w:val="0"/>
      <w:spacing w:before="5"/>
      <w:ind w:left="840" w:hanging="720"/>
    </w:pPr>
    <w:rPr>
      <w:rFonts w:eastAsia="Times New Roman" w:cstheme="minorBidi"/>
    </w:rPr>
  </w:style>
  <w:style w:type="character" w:customStyle="1" w:styleId="BodyTextChar">
    <w:name w:val="Body Text Char"/>
    <w:basedOn w:val="DefaultParagraphFont"/>
    <w:link w:val="BodyText"/>
    <w:uiPriority w:val="1"/>
    <w:rsid w:val="001F0CC1"/>
    <w:rPr>
      <w:rFonts w:ascii="Times New Roman" w:eastAsia="Times New Roman" w:hAnsi="Times New Roman"/>
      <w:sz w:val="24"/>
      <w:szCs w:val="24"/>
    </w:rPr>
  </w:style>
  <w:style w:type="character" w:customStyle="1" w:styleId="Heading2Char">
    <w:name w:val="Heading 2 Char"/>
    <w:basedOn w:val="DefaultParagraphFont"/>
    <w:link w:val="Heading2"/>
    <w:uiPriority w:val="9"/>
    <w:semiHidden/>
    <w:rsid w:val="000D1A7A"/>
    <w:rPr>
      <w:rFonts w:asciiTheme="majorHAnsi" w:eastAsiaTheme="majorEastAsia" w:hAnsiTheme="majorHAnsi" w:cstheme="majorBidi"/>
      <w:color w:val="2E74B5" w:themeColor="accent1" w:themeShade="BF"/>
      <w:sz w:val="26"/>
      <w:szCs w:val="26"/>
    </w:rPr>
  </w:style>
  <w:style w:type="paragraph" w:customStyle="1" w:styleId="TableParagraph">
    <w:name w:val="Table Paragraph"/>
    <w:basedOn w:val="Normal"/>
    <w:uiPriority w:val="1"/>
    <w:qFormat/>
    <w:rsid w:val="000D1A7A"/>
    <w:pPr>
      <w:widowControl w:val="0"/>
    </w:pPr>
    <w:rPr>
      <w:rFonts w:asciiTheme="minorHAnsi" w:hAnsiTheme="minorHAnsi" w:cstheme="minorBidi"/>
      <w:sz w:val="22"/>
      <w:szCs w:val="22"/>
    </w:rPr>
  </w:style>
  <w:style w:type="paragraph" w:styleId="ListParagraph">
    <w:name w:val="List Paragraph"/>
    <w:basedOn w:val="Normal"/>
    <w:uiPriority w:val="1"/>
    <w:qFormat/>
    <w:rsid w:val="00363B18"/>
    <w:pPr>
      <w:widowControl w:val="0"/>
    </w:pPr>
    <w:rPr>
      <w:rFonts w:asciiTheme="minorHAnsi" w:hAnsiTheme="minorHAnsi" w:cstheme="minorBidi"/>
      <w:sz w:val="22"/>
      <w:szCs w:val="22"/>
    </w:rPr>
  </w:style>
  <w:style w:type="character" w:customStyle="1" w:styleId="normaltextrun">
    <w:name w:val="normaltextrun"/>
    <w:basedOn w:val="DefaultParagraphFont"/>
    <w:rsid w:val="00523DA0"/>
  </w:style>
  <w:style w:type="paragraph" w:customStyle="1" w:styleId="paragraph">
    <w:name w:val="paragraph"/>
    <w:basedOn w:val="Normal"/>
    <w:rsid w:val="00021563"/>
  </w:style>
  <w:style w:type="character" w:customStyle="1" w:styleId="eop">
    <w:name w:val="eop"/>
    <w:basedOn w:val="DefaultParagraphFont"/>
    <w:rsid w:val="00021563"/>
  </w:style>
  <w:style w:type="paragraph" w:styleId="Subtitle">
    <w:name w:val="Subtitle"/>
    <w:aliases w:val="Subheader"/>
    <w:basedOn w:val="ListParagraph"/>
    <w:next w:val="Normal"/>
    <w:link w:val="SubtitleChar"/>
    <w:uiPriority w:val="11"/>
    <w:qFormat/>
    <w:rsid w:val="00951A57"/>
    <w:pPr>
      <w:keepNext/>
      <w:widowControl/>
      <w:spacing w:line="480" w:lineRule="auto"/>
      <w:contextualSpacing/>
      <w:jc w:val="both"/>
    </w:pPr>
    <w:rPr>
      <w:rFonts w:ascii="Times New Roman" w:hAnsi="Times New Roman"/>
      <w:b/>
      <w:i/>
      <w:spacing w:val="1"/>
      <w:sz w:val="24"/>
      <w:u w:val="single" w:color="000000"/>
    </w:rPr>
  </w:style>
  <w:style w:type="character" w:customStyle="1" w:styleId="SubtitleChar">
    <w:name w:val="Subtitle Char"/>
    <w:aliases w:val="Subheader Char"/>
    <w:basedOn w:val="DefaultParagraphFont"/>
    <w:link w:val="Subtitle"/>
    <w:uiPriority w:val="11"/>
    <w:rsid w:val="00951A57"/>
    <w:rPr>
      <w:rFonts w:ascii="Times New Roman" w:hAnsi="Times New Roman"/>
      <w:b/>
      <w:i/>
      <w:spacing w:val="1"/>
      <w:sz w:val="24"/>
      <w:u w:val="single" w:color="000000"/>
    </w:rPr>
  </w:style>
  <w:style w:type="paragraph" w:styleId="Revision">
    <w:name w:val="Revision"/>
    <w:hidden/>
    <w:uiPriority w:val="99"/>
    <w:semiHidden/>
    <w:rsid w:val="008745A7"/>
    <w:pPr>
      <w:spacing w:after="0" w:line="240" w:lineRule="auto"/>
    </w:pPr>
    <w:rPr>
      <w:rFonts w:ascii="Times New Roman" w:hAnsi="Times New Roman" w:cs="Times New Roman"/>
      <w:sz w:val="24"/>
      <w:szCs w:val="24"/>
    </w:rPr>
  </w:style>
  <w:style w:type="character" w:customStyle="1" w:styleId="Mention1">
    <w:name w:val="Mention1"/>
    <w:basedOn w:val="DefaultParagraphFont"/>
    <w:uiPriority w:val="99"/>
    <w:unhideWhenUsed/>
    <w:rsid w:val="00AD1E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87">
      <w:bodyDiv w:val="1"/>
      <w:marLeft w:val="0"/>
      <w:marRight w:val="0"/>
      <w:marTop w:val="0"/>
      <w:marBottom w:val="0"/>
      <w:divBdr>
        <w:top w:val="none" w:sz="0" w:space="0" w:color="auto"/>
        <w:left w:val="none" w:sz="0" w:space="0" w:color="auto"/>
        <w:bottom w:val="none" w:sz="0" w:space="0" w:color="auto"/>
        <w:right w:val="none" w:sz="0" w:space="0" w:color="auto"/>
      </w:divBdr>
    </w:div>
    <w:div w:id="135129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lcf76f155ced4ddcb4097134ff3c332f xmlns="8e762869-53d1-4bbb-98c0-68c1ab1b3c4c">
      <Terms xmlns="http://schemas.microsoft.com/office/infopath/2007/PartnerControls"/>
    </lcf76f155ced4ddcb4097134ff3c332f>
    <TaxCatchAll xmlns="1d5619db-30f2-4931-8b6b-a9fbf6f1b5fd" xsi:nil="true"/>
    <PublishingExpiration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46DA9E8167494F8CD8CF5F70EBE53E" ma:contentTypeVersion="14" ma:contentTypeDescription="Create a new document." ma:contentTypeScope="" ma:versionID="329ef7f43a0bfe04dfd15dc1854fe394">
  <xsd:schema xmlns:xsd="http://www.w3.org/2001/XMLSchema" xmlns:xs="http://www.w3.org/2001/XMLSchema" xmlns:p="http://schemas.microsoft.com/office/2006/metadata/properties" xmlns:ns1="http://schemas.microsoft.com/sharepoint/v3" xmlns:ns2="8e762869-53d1-4bbb-98c0-68c1ab1b3c4c" xmlns:ns3="1d5619db-30f2-4931-8b6b-a9fbf6f1b5fd" targetNamespace="http://schemas.microsoft.com/office/2006/metadata/properties" ma:root="true" ma:fieldsID="043d38215775ecc87508c14cdb1d338c" ns1:_="" ns2:_="" ns3:_="">
    <xsd:import namespace="http://schemas.microsoft.com/sharepoint/v3"/>
    <xsd:import namespace="8e762869-53d1-4bbb-98c0-68c1ab1b3c4c"/>
    <xsd:import namespace="1d5619db-30f2-4931-8b6b-a9fbf6f1b5fd"/>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e762869-53d1-4bbb-98c0-68c1ab1b3c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68c2d8e-49e9-4a0e-b321-1f2a931403cd"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5619db-30f2-4931-8b6b-a9fbf6f1b5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2e3855-f6ea-4571-877e-130aae35aa12}" ma:internalName="TaxCatchAll" ma:showField="CatchAllData" ma:web="1d5619db-30f2-4931-8b6b-a9fbf6f1b5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29991-8DAE-4409-A223-ACA2CF424BCE}">
  <ds:schemaRefs>
    <ds:schemaRef ds:uri="http://schemas.microsoft.com/sharepoint/v3/contenttype/forms"/>
  </ds:schemaRefs>
</ds:datastoreItem>
</file>

<file path=customXml/itemProps2.xml><?xml version="1.0" encoding="utf-8"?>
<ds:datastoreItem xmlns:ds="http://schemas.openxmlformats.org/officeDocument/2006/customXml" ds:itemID="{CC30F692-1C4A-4A87-823C-825B49C56F2D}">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1d5619db-30f2-4931-8b6b-a9fbf6f1b5fd"/>
    <ds:schemaRef ds:uri="http://purl.org/dc/terms/"/>
    <ds:schemaRef ds:uri="http://schemas.microsoft.com/office/2006/documentManagement/types"/>
    <ds:schemaRef ds:uri="8e762869-53d1-4bbb-98c0-68c1ab1b3c4c"/>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0EC5B367-DCE2-4CE1-985F-A88CB02AA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e762869-53d1-4bbb-98c0-68c1ab1b3c4c"/>
    <ds:schemaRef ds:uri="1d5619db-30f2-4931-8b6b-a9fbf6f1b5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413FE8-1E27-41B6-8254-BA0C4B49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4537</Words>
  <Characters>25861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2023-03-22T13:55:00Z</dcterms:created>
  <dcterms:modified xsi:type="dcterms:W3CDTF">2023-05-10T14:22:00Z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91f082-e357-48ae-be1c-7e151bab59c6_ContentBits">
    <vt:lpwstr>0</vt:lpwstr>
  </property>
  <property fmtid="{D5CDD505-2E9C-101B-9397-08002B2CF9AE}" pid="3" name="MediaServiceImageTags">
    <vt:lpwstr/>
  </property>
  <property fmtid="{D5CDD505-2E9C-101B-9397-08002B2CF9AE}" pid="4" name="ContentTypeId">
    <vt:lpwstr>0x010100E546DA9E8167494F8CD8CF5F70EBE53E</vt:lpwstr>
  </property>
  <property fmtid="{D5CDD505-2E9C-101B-9397-08002B2CF9AE}" pid="5" name="MSIP_Label_4391f082-e357-48ae-be1c-7e151bab59c6_Enabled">
    <vt:lpwstr>true</vt:lpwstr>
  </property>
  <property fmtid="{D5CDD505-2E9C-101B-9397-08002B2CF9AE}" pid="6" name="MSIP_Label_4391f082-e357-48ae-be1c-7e151bab59c6_SiteId">
    <vt:lpwstr>e0c13469-6a2d-4ac3-835b-8ec9ed03c9a7</vt:lpwstr>
  </property>
  <property fmtid="{D5CDD505-2E9C-101B-9397-08002B2CF9AE}" pid="7" name="MSIP_Label_4391f082-e357-48ae-be1c-7e151bab59c6_Method">
    <vt:lpwstr>Standard</vt:lpwstr>
  </property>
  <property fmtid="{D5CDD505-2E9C-101B-9397-08002B2CF9AE}" pid="8" name="MSIP_Label_4391f082-e357-48ae-be1c-7e151bab59c6_Name">
    <vt:lpwstr>4391f082-e357-48ae-be1c-7e151bab59c6</vt:lpwstr>
  </property>
  <property fmtid="{D5CDD505-2E9C-101B-9397-08002B2CF9AE}" pid="9" name="MSIP_Label_4391f082-e357-48ae-be1c-7e151bab59c6_SetDate">
    <vt:lpwstr>2023-01-24T18:26:12Z</vt:lpwstr>
  </property>
  <property fmtid="{D5CDD505-2E9C-101B-9397-08002B2CF9AE}" pid="10" name="MSIP_Label_4391f082-e357-48ae-be1c-7e151bab59c6_ActionId">
    <vt:lpwstr>947816f7-83d1-422a-b330-152fa0f80a27</vt:lpwstr>
  </property>
</Properties>
</file>